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EC57" w14:textId="77777777" w:rsidR="0058445E" w:rsidRPr="00EF3BE8" w:rsidRDefault="0058445E" w:rsidP="00EF3BE8">
      <w:pPr>
        <w:pStyle w:val="Ttulo4"/>
        <w:rPr>
          <w:rFonts w:ascii="Verdana" w:hAnsi="Verdana"/>
          <w:b w:val="0"/>
          <w:smallCaps w:val="0"/>
          <w:sz w:val="20"/>
          <w:u w:val="single"/>
        </w:rPr>
      </w:pPr>
      <w:r w:rsidRPr="00EF3BE8">
        <w:rPr>
          <w:rFonts w:ascii="Verdana" w:hAnsi="Verdana"/>
          <w:smallCaps w:val="0"/>
          <w:sz w:val="20"/>
          <w:u w:val="single"/>
        </w:rPr>
        <w:t xml:space="preserve">Caso Masacre Plan de Sánchez </w:t>
      </w:r>
      <w:r w:rsidRPr="00EF3BE8">
        <w:rPr>
          <w:rFonts w:ascii="Verdana" w:hAnsi="Verdana"/>
          <w:i/>
          <w:smallCaps w:val="0"/>
          <w:sz w:val="20"/>
          <w:u w:val="single"/>
        </w:rPr>
        <w:t>Vs</w:t>
      </w:r>
      <w:r w:rsidRPr="00EF3BE8">
        <w:rPr>
          <w:rFonts w:ascii="Verdana" w:hAnsi="Verdana"/>
          <w:b w:val="0"/>
          <w:i/>
          <w:smallCaps w:val="0"/>
          <w:sz w:val="20"/>
          <w:u w:val="single"/>
        </w:rPr>
        <w:t>.</w:t>
      </w:r>
      <w:r w:rsidRPr="00EF3BE8">
        <w:rPr>
          <w:rFonts w:ascii="Verdana" w:hAnsi="Verdana"/>
          <w:i/>
          <w:smallCaps w:val="0"/>
          <w:sz w:val="20"/>
          <w:u w:val="single"/>
        </w:rPr>
        <w:t xml:space="preserve"> </w:t>
      </w:r>
      <w:r w:rsidRPr="00EF3BE8">
        <w:rPr>
          <w:rFonts w:ascii="Verdana" w:hAnsi="Verdana"/>
          <w:smallCaps w:val="0"/>
          <w:sz w:val="20"/>
          <w:u w:val="single"/>
        </w:rPr>
        <w:t>Guatemala: reparaciones declaradas cumplidas</w:t>
      </w:r>
    </w:p>
    <w:p w14:paraId="14B6B3D4" w14:textId="77777777" w:rsidR="00B5500D" w:rsidRPr="00EF3BE8" w:rsidRDefault="00B5500D" w:rsidP="00EF3BE8">
      <w:pPr>
        <w:spacing w:after="0" w:line="240" w:lineRule="auto"/>
        <w:jc w:val="both"/>
        <w:rPr>
          <w:rFonts w:ascii="Verdana" w:hAnsi="Verdana"/>
          <w:sz w:val="20"/>
          <w:szCs w:val="20"/>
          <w:lang w:val="es-CR"/>
        </w:rPr>
      </w:pPr>
    </w:p>
    <w:p w14:paraId="401D86FC" w14:textId="77777777" w:rsidR="002D04D5" w:rsidRPr="00EF3BE8" w:rsidRDefault="002D04D5" w:rsidP="00EF3BE8">
      <w:pPr>
        <w:pStyle w:val="Textoindependiente2"/>
        <w:widowControl w:val="0"/>
        <w:numPr>
          <w:ilvl w:val="0"/>
          <w:numId w:val="1"/>
        </w:numPr>
        <w:rPr>
          <w:rFonts w:ascii="Verdana" w:hAnsi="Verdana"/>
          <w:sz w:val="20"/>
        </w:rPr>
      </w:pPr>
      <w:r w:rsidRPr="00EF3BE8">
        <w:rPr>
          <w:rFonts w:ascii="Verdana" w:hAnsi="Verdana"/>
          <w:sz w:val="20"/>
        </w:rPr>
        <w:t>R</w:t>
      </w:r>
      <w:r w:rsidR="00B5500D" w:rsidRPr="00EF3BE8">
        <w:rPr>
          <w:rFonts w:ascii="Verdana" w:hAnsi="Verdana"/>
          <w:sz w:val="20"/>
        </w:rPr>
        <w:t xml:space="preserve">ealizar un acto público de reconocimiento de su responsabilidad de los hechos ocurridos en este caso, y en desagravio de las víctimas de éste.  El acto debe realizarse en la aldea de Plan de Sánchez, donde ocurrió la masacre, con la presencia de altas autoridades del Estado y, en particular, con la presencia de los miembros de la comunidad de Plan de Sánchez y de las otras víctimas del presente caso, habitantes de las aldeas </w:t>
      </w:r>
      <w:proofErr w:type="spellStart"/>
      <w:r w:rsidR="00B5500D" w:rsidRPr="00EF3BE8">
        <w:rPr>
          <w:rFonts w:ascii="Verdana" w:hAnsi="Verdana"/>
          <w:sz w:val="20"/>
        </w:rPr>
        <w:t>Chipuerta</w:t>
      </w:r>
      <w:proofErr w:type="spellEnd"/>
      <w:r w:rsidR="00B5500D" w:rsidRPr="00EF3BE8">
        <w:rPr>
          <w:rFonts w:ascii="Verdana" w:hAnsi="Verdana"/>
          <w:sz w:val="20"/>
        </w:rPr>
        <w:t xml:space="preserve">, Joya de Ramos, </w:t>
      </w:r>
      <w:proofErr w:type="spellStart"/>
      <w:r w:rsidR="00B5500D" w:rsidRPr="00EF3BE8">
        <w:rPr>
          <w:rFonts w:ascii="Verdana" w:hAnsi="Verdana"/>
          <w:sz w:val="20"/>
        </w:rPr>
        <w:t>Raxjut</w:t>
      </w:r>
      <w:proofErr w:type="spellEnd"/>
      <w:r w:rsidR="00B5500D" w:rsidRPr="00EF3BE8">
        <w:rPr>
          <w:rFonts w:ascii="Verdana" w:hAnsi="Verdana"/>
          <w:sz w:val="20"/>
        </w:rPr>
        <w:t xml:space="preserve">, </w:t>
      </w:r>
      <w:proofErr w:type="spellStart"/>
      <w:r w:rsidR="00B5500D" w:rsidRPr="00EF3BE8">
        <w:rPr>
          <w:rFonts w:ascii="Verdana" w:hAnsi="Verdana"/>
          <w:sz w:val="20"/>
        </w:rPr>
        <w:t>Volcanillo</w:t>
      </w:r>
      <w:proofErr w:type="spellEnd"/>
      <w:r w:rsidR="00B5500D" w:rsidRPr="00EF3BE8">
        <w:rPr>
          <w:rFonts w:ascii="Verdana" w:hAnsi="Verdana"/>
          <w:sz w:val="20"/>
        </w:rPr>
        <w:t xml:space="preserve">, </w:t>
      </w:r>
      <w:proofErr w:type="spellStart"/>
      <w:r w:rsidR="00B5500D" w:rsidRPr="00EF3BE8">
        <w:rPr>
          <w:rFonts w:ascii="Verdana" w:hAnsi="Verdana"/>
          <w:sz w:val="20"/>
        </w:rPr>
        <w:t>Coxojabaj</w:t>
      </w:r>
      <w:proofErr w:type="spellEnd"/>
      <w:r w:rsidR="00B5500D" w:rsidRPr="00EF3BE8">
        <w:rPr>
          <w:rFonts w:ascii="Verdana" w:hAnsi="Verdana"/>
          <w:sz w:val="20"/>
        </w:rPr>
        <w:t xml:space="preserve">, Las Tunas, Las Minas, Las Ventanas, Ixchel, </w:t>
      </w:r>
      <w:proofErr w:type="spellStart"/>
      <w:r w:rsidR="00B5500D" w:rsidRPr="00EF3BE8">
        <w:rPr>
          <w:rFonts w:ascii="Verdana" w:hAnsi="Verdana"/>
          <w:sz w:val="20"/>
        </w:rPr>
        <w:t>Chiac</w:t>
      </w:r>
      <w:proofErr w:type="spellEnd"/>
      <w:r w:rsidR="00B5500D" w:rsidRPr="00EF3BE8">
        <w:rPr>
          <w:rFonts w:ascii="Verdana" w:hAnsi="Verdana"/>
          <w:sz w:val="20"/>
        </w:rPr>
        <w:t xml:space="preserve">, </w:t>
      </w:r>
      <w:proofErr w:type="spellStart"/>
      <w:r w:rsidR="00B5500D" w:rsidRPr="00EF3BE8">
        <w:rPr>
          <w:rFonts w:ascii="Verdana" w:hAnsi="Verdana"/>
          <w:sz w:val="20"/>
        </w:rPr>
        <w:t>Concul</w:t>
      </w:r>
      <w:proofErr w:type="spellEnd"/>
      <w:r w:rsidR="00B5500D" w:rsidRPr="00EF3BE8">
        <w:rPr>
          <w:rFonts w:ascii="Verdana" w:hAnsi="Verdana"/>
          <w:sz w:val="20"/>
        </w:rPr>
        <w:t xml:space="preserve"> y </w:t>
      </w:r>
      <w:proofErr w:type="spellStart"/>
      <w:r w:rsidR="00B5500D" w:rsidRPr="00EF3BE8">
        <w:rPr>
          <w:rFonts w:ascii="Verdana" w:hAnsi="Verdana"/>
          <w:sz w:val="20"/>
        </w:rPr>
        <w:t>Chichupac</w:t>
      </w:r>
      <w:proofErr w:type="spellEnd"/>
      <w:r w:rsidR="00B5500D" w:rsidRPr="00EF3BE8">
        <w:rPr>
          <w:rFonts w:ascii="Verdana" w:hAnsi="Verdana"/>
          <w:sz w:val="20"/>
        </w:rPr>
        <w:t>, acto en el cual se deberá dar participación a los líderes de dichas comunidades afectadas.  El Estado debe disponer los medios necesarios para facilitar la presencia de dichas personas en el acto mencionado.  Además, el Estado debe realizar dicho acto tanto en idioma español como en el idioma maya achí y difundirlo a través de los medios de comunicación, en los términos de los párrafos 100 y 117 de la presente Sentencia.</w:t>
      </w:r>
    </w:p>
    <w:p w14:paraId="47D04983" w14:textId="77777777" w:rsidR="007A20ED" w:rsidRPr="00EF3BE8" w:rsidRDefault="007A20ED" w:rsidP="00EF3BE8">
      <w:pPr>
        <w:pStyle w:val="Textoindependiente2"/>
        <w:widowControl w:val="0"/>
        <w:ind w:left="360"/>
        <w:rPr>
          <w:rFonts w:ascii="Verdana" w:hAnsi="Verdana"/>
          <w:sz w:val="20"/>
        </w:rPr>
      </w:pPr>
    </w:p>
    <w:p w14:paraId="1CA109DF" w14:textId="77777777" w:rsidR="00464F8D" w:rsidRPr="00EF3BE8" w:rsidRDefault="002D04D5" w:rsidP="00EF3BE8">
      <w:pPr>
        <w:pStyle w:val="Textoindependiente2"/>
        <w:widowControl w:val="0"/>
        <w:numPr>
          <w:ilvl w:val="0"/>
          <w:numId w:val="1"/>
        </w:numPr>
        <w:rPr>
          <w:rFonts w:ascii="Verdana" w:hAnsi="Verdana"/>
          <w:sz w:val="20"/>
        </w:rPr>
      </w:pPr>
      <w:r w:rsidRPr="00EF3BE8">
        <w:rPr>
          <w:rFonts w:ascii="Verdana" w:hAnsi="Verdana"/>
          <w:sz w:val="20"/>
        </w:rPr>
        <w:t>H</w:t>
      </w:r>
      <w:r w:rsidR="00B5500D" w:rsidRPr="00EF3BE8">
        <w:rPr>
          <w:rFonts w:ascii="Verdana" w:hAnsi="Verdana"/>
          <w:sz w:val="20"/>
        </w:rPr>
        <w:t>onrar públicamente la memoria de las personas ejecutadas en la Masacre Plan de Sánchez, realizada por agentes del Estado el 18 de julio de 1982, en los términos de los párrafos 101 y 117 de la presente Sentencia.</w:t>
      </w:r>
    </w:p>
    <w:p w14:paraId="69047D56" w14:textId="77777777" w:rsidR="007A20ED" w:rsidRPr="00EF3BE8" w:rsidRDefault="007A20ED" w:rsidP="00EF3BE8">
      <w:pPr>
        <w:pStyle w:val="Textoindependiente2"/>
        <w:widowControl w:val="0"/>
        <w:rPr>
          <w:rFonts w:ascii="Verdana" w:hAnsi="Verdana"/>
          <w:sz w:val="20"/>
        </w:rPr>
      </w:pPr>
    </w:p>
    <w:p w14:paraId="6C493776" w14:textId="77777777" w:rsidR="00464F8D" w:rsidRPr="00EF3BE8" w:rsidRDefault="00464F8D" w:rsidP="00EF3BE8">
      <w:pPr>
        <w:pStyle w:val="Textoindependiente2"/>
        <w:widowControl w:val="0"/>
        <w:numPr>
          <w:ilvl w:val="0"/>
          <w:numId w:val="1"/>
        </w:numPr>
        <w:rPr>
          <w:rFonts w:ascii="Verdana" w:hAnsi="Verdana"/>
          <w:sz w:val="20"/>
        </w:rPr>
      </w:pPr>
      <w:r w:rsidRPr="00EF3BE8">
        <w:rPr>
          <w:rFonts w:ascii="Verdana" w:hAnsi="Verdana"/>
          <w:sz w:val="20"/>
          <w:lang w:val="es-MX"/>
        </w:rPr>
        <w:t>T</w:t>
      </w:r>
      <w:r w:rsidR="00B5500D" w:rsidRPr="00EF3BE8">
        <w:rPr>
          <w:rFonts w:ascii="Verdana" w:hAnsi="Verdana"/>
          <w:sz w:val="20"/>
          <w:lang w:val="es-MX"/>
        </w:rPr>
        <w:t>raducir al idioma maya achí la Convención Americana sobre Derechos Humanos, en caso de que no se hubiere hecho, la sentencia de fondo dictada por la Corte el 29 de abril de 2004, así como la presente Sentencia.  Asimismo, el Estado debe disponer de los recursos necesarios para facilitar la divulgación de dichos textos en el Municipio de Rabinal y hacer entrega de los mismos a las víctimas del presente caso, en los términos de los párrafos 102 y 117 de esta Sentencia.</w:t>
      </w:r>
    </w:p>
    <w:p w14:paraId="4FE1A74C" w14:textId="77777777" w:rsidR="007A20ED" w:rsidRPr="00EF3BE8" w:rsidRDefault="007A20ED" w:rsidP="00EF3BE8">
      <w:pPr>
        <w:pStyle w:val="Textoindependiente2"/>
        <w:widowControl w:val="0"/>
        <w:rPr>
          <w:rFonts w:ascii="Verdana" w:hAnsi="Verdana"/>
          <w:sz w:val="20"/>
        </w:rPr>
      </w:pPr>
    </w:p>
    <w:p w14:paraId="1EDBEB26" w14:textId="77777777" w:rsidR="009175D0" w:rsidRPr="00EF3BE8" w:rsidRDefault="00464F8D" w:rsidP="00EF3BE8">
      <w:pPr>
        <w:pStyle w:val="Textoindependiente2"/>
        <w:widowControl w:val="0"/>
        <w:numPr>
          <w:ilvl w:val="0"/>
          <w:numId w:val="1"/>
        </w:numPr>
        <w:rPr>
          <w:rFonts w:ascii="Verdana" w:hAnsi="Verdana"/>
          <w:sz w:val="20"/>
        </w:rPr>
      </w:pPr>
      <w:r w:rsidRPr="00EF3BE8">
        <w:rPr>
          <w:rFonts w:ascii="Verdana" w:hAnsi="Verdana"/>
          <w:sz w:val="20"/>
        </w:rPr>
        <w:t>P</w:t>
      </w:r>
      <w:r w:rsidR="00B5500D" w:rsidRPr="00EF3BE8">
        <w:rPr>
          <w:rFonts w:ascii="Verdana" w:hAnsi="Verdana"/>
          <w:sz w:val="20"/>
        </w:rPr>
        <w:t>ublicar dentro del plazo de un año, contado a partir de la notificación de la presente Sentencia, al menos por una vez, en el Diario Oficial, y en otro diario de circulación nacional, en español y en maya achí, tanto la Sección denominada Hechos Establecidos del Capítulo V como los puntos resolutivos Primero a Cuarto de la sentencia de fondo dictada por la Corte el 29 de abril de 2004, así como el Capítulo VII titulado Hechos Probados, sin las notas al pie, y el punto declarativo Primero y los puntos resolutivos Primero a Noveno de esta Sentencia, en los términos de los párrafos 103 y 117.</w:t>
      </w:r>
    </w:p>
    <w:p w14:paraId="75D8D0CA" w14:textId="77777777" w:rsidR="007A20ED" w:rsidRPr="00EF3BE8" w:rsidRDefault="007A20ED" w:rsidP="00EF3BE8">
      <w:pPr>
        <w:pStyle w:val="Textoindependiente2"/>
        <w:widowControl w:val="0"/>
        <w:rPr>
          <w:rFonts w:ascii="Verdana" w:hAnsi="Verdana"/>
          <w:sz w:val="20"/>
        </w:rPr>
      </w:pPr>
    </w:p>
    <w:p w14:paraId="19CEDA3C" w14:textId="77777777" w:rsidR="00B5500D" w:rsidRPr="00EF3BE8" w:rsidRDefault="00464F8D" w:rsidP="00EF3BE8">
      <w:pPr>
        <w:pStyle w:val="Textoindependiente2"/>
        <w:widowControl w:val="0"/>
        <w:numPr>
          <w:ilvl w:val="0"/>
          <w:numId w:val="1"/>
        </w:numPr>
        <w:rPr>
          <w:rFonts w:ascii="Verdana" w:hAnsi="Verdana"/>
          <w:sz w:val="20"/>
        </w:rPr>
      </w:pPr>
      <w:r w:rsidRPr="00EF3BE8">
        <w:rPr>
          <w:rFonts w:ascii="Verdana" w:hAnsi="Verdana"/>
          <w:sz w:val="20"/>
        </w:rPr>
        <w:t>P</w:t>
      </w:r>
      <w:r w:rsidR="00B5500D" w:rsidRPr="00EF3BE8">
        <w:rPr>
          <w:rFonts w:ascii="Verdana" w:hAnsi="Verdana"/>
          <w:sz w:val="20"/>
        </w:rPr>
        <w:t>agar la cantidad fijada en el párrafo 104 de la presente Sentencia, para el mantenimiento y mejoras en la infraestructura de la capilla en la cual las víctimas rinden tributo a las personas ejecutadas en la Masacre Plan de Sánchez, en los términos de los párrafos 104 y 117.</w:t>
      </w:r>
    </w:p>
    <w:p w14:paraId="2F96E539" w14:textId="77777777" w:rsidR="009175D0" w:rsidRPr="00EF3BE8" w:rsidRDefault="009175D0" w:rsidP="00EF3BE8">
      <w:pPr>
        <w:pStyle w:val="Textoindependiente2"/>
        <w:widowControl w:val="0"/>
        <w:rPr>
          <w:rFonts w:ascii="Verdana" w:hAnsi="Verdana"/>
          <w:sz w:val="20"/>
        </w:rPr>
      </w:pPr>
    </w:p>
    <w:p w14:paraId="4AE482BD" w14:textId="0F3F0722" w:rsidR="009175D0" w:rsidRPr="00EF3BE8" w:rsidRDefault="009175D0" w:rsidP="00EF3BE8">
      <w:pPr>
        <w:pStyle w:val="Textoindependiente2"/>
        <w:widowControl w:val="0"/>
        <w:numPr>
          <w:ilvl w:val="0"/>
          <w:numId w:val="1"/>
        </w:numPr>
        <w:rPr>
          <w:rFonts w:ascii="Verdana" w:hAnsi="Verdana"/>
          <w:sz w:val="20"/>
        </w:rPr>
      </w:pPr>
      <w:r w:rsidRPr="00EF3BE8">
        <w:rPr>
          <w:rFonts w:ascii="Verdana" w:hAnsi="Verdana"/>
          <w:sz w:val="20"/>
        </w:rPr>
        <w:t xml:space="preserve">Desarrollar en las comunidades de Plan de Sánchez, </w:t>
      </w:r>
      <w:proofErr w:type="spellStart"/>
      <w:r w:rsidRPr="00EF3BE8">
        <w:rPr>
          <w:rFonts w:ascii="Verdana" w:hAnsi="Verdana"/>
          <w:sz w:val="20"/>
        </w:rPr>
        <w:t>Chipuerta</w:t>
      </w:r>
      <w:proofErr w:type="spellEnd"/>
      <w:r w:rsidRPr="00EF3BE8">
        <w:rPr>
          <w:rFonts w:ascii="Verdana" w:hAnsi="Verdana"/>
          <w:sz w:val="20"/>
        </w:rPr>
        <w:t xml:space="preserve">, Joya de Ramos, </w:t>
      </w:r>
      <w:proofErr w:type="spellStart"/>
      <w:r w:rsidRPr="00EF3BE8">
        <w:rPr>
          <w:rFonts w:ascii="Verdana" w:hAnsi="Verdana"/>
          <w:sz w:val="20"/>
        </w:rPr>
        <w:t>Raxjut</w:t>
      </w:r>
      <w:proofErr w:type="spellEnd"/>
      <w:r w:rsidRPr="00EF3BE8">
        <w:rPr>
          <w:rFonts w:ascii="Verdana" w:hAnsi="Verdana"/>
          <w:sz w:val="20"/>
        </w:rPr>
        <w:t xml:space="preserve">, </w:t>
      </w:r>
      <w:proofErr w:type="spellStart"/>
      <w:r w:rsidRPr="00EF3BE8">
        <w:rPr>
          <w:rFonts w:ascii="Verdana" w:hAnsi="Verdana"/>
          <w:sz w:val="20"/>
        </w:rPr>
        <w:t>Volcanillo</w:t>
      </w:r>
      <w:proofErr w:type="spellEnd"/>
      <w:r w:rsidRPr="00EF3BE8">
        <w:rPr>
          <w:rFonts w:ascii="Verdana" w:hAnsi="Verdana"/>
          <w:sz w:val="20"/>
        </w:rPr>
        <w:t xml:space="preserve">, </w:t>
      </w:r>
      <w:proofErr w:type="spellStart"/>
      <w:r w:rsidRPr="00EF3BE8">
        <w:rPr>
          <w:rFonts w:ascii="Verdana" w:hAnsi="Verdana"/>
          <w:sz w:val="20"/>
        </w:rPr>
        <w:t>Coxojabaj</w:t>
      </w:r>
      <w:proofErr w:type="spellEnd"/>
      <w:r w:rsidRPr="00EF3BE8">
        <w:rPr>
          <w:rFonts w:ascii="Verdana" w:hAnsi="Verdana"/>
          <w:sz w:val="20"/>
        </w:rPr>
        <w:t xml:space="preserve">, Las Tunas, Las Minas, Las Ventanas, Ixchel, </w:t>
      </w:r>
      <w:proofErr w:type="spellStart"/>
      <w:r w:rsidRPr="00EF3BE8">
        <w:rPr>
          <w:rFonts w:ascii="Verdana" w:hAnsi="Verdana"/>
          <w:sz w:val="20"/>
        </w:rPr>
        <w:t>Chiac</w:t>
      </w:r>
      <w:proofErr w:type="spellEnd"/>
      <w:r w:rsidRPr="00EF3BE8">
        <w:rPr>
          <w:rFonts w:ascii="Verdana" w:hAnsi="Verdana"/>
          <w:sz w:val="20"/>
        </w:rPr>
        <w:t xml:space="preserve">, </w:t>
      </w:r>
      <w:proofErr w:type="spellStart"/>
      <w:r w:rsidRPr="00EF3BE8">
        <w:rPr>
          <w:rFonts w:ascii="Verdana" w:hAnsi="Verdana"/>
          <w:sz w:val="20"/>
        </w:rPr>
        <w:t>Concul</w:t>
      </w:r>
      <w:proofErr w:type="spellEnd"/>
      <w:r w:rsidRPr="00EF3BE8">
        <w:rPr>
          <w:rFonts w:ascii="Verdana" w:hAnsi="Verdana"/>
          <w:sz w:val="20"/>
        </w:rPr>
        <w:t xml:space="preserve"> y </w:t>
      </w:r>
      <w:proofErr w:type="spellStart"/>
      <w:r w:rsidRPr="00EF3BE8">
        <w:rPr>
          <w:rFonts w:ascii="Verdana" w:hAnsi="Verdana"/>
          <w:sz w:val="20"/>
        </w:rPr>
        <w:t>Chichupac</w:t>
      </w:r>
      <w:proofErr w:type="spellEnd"/>
      <w:r w:rsidRPr="00EF3BE8">
        <w:rPr>
          <w:rFonts w:ascii="Verdana" w:hAnsi="Verdana"/>
          <w:sz w:val="20"/>
        </w:rPr>
        <w:t xml:space="preserve"> los siguientes programas: a) estudio y difusión de la cultura maya achí en las comunidades afectadas a través de la Academia de Lenguas Mayas de Guatemala u otra organización similar</w:t>
      </w:r>
      <w:r w:rsidR="00D97588" w:rsidRPr="00EF3BE8">
        <w:rPr>
          <w:rFonts w:ascii="Verdana" w:hAnsi="Verdana"/>
          <w:sz w:val="20"/>
        </w:rPr>
        <w:t>; d) dotación de personal docente capacitado en enseñanza intercultural y bilingüe en la educación primaria, secundaria y diversificada de dichas comunidades, y</w:t>
      </w:r>
      <w:r w:rsidRPr="00EF3BE8">
        <w:rPr>
          <w:rFonts w:ascii="Verdana" w:hAnsi="Verdana"/>
          <w:sz w:val="20"/>
        </w:rPr>
        <w:t xml:space="preserve"> </w:t>
      </w:r>
      <w:proofErr w:type="spellStart"/>
      <w:r w:rsidRPr="00EF3BE8">
        <w:rPr>
          <w:rFonts w:ascii="Verdana" w:hAnsi="Verdana"/>
          <w:sz w:val="20"/>
        </w:rPr>
        <w:t>e</w:t>
      </w:r>
      <w:proofErr w:type="spellEnd"/>
      <w:r w:rsidRPr="00EF3BE8">
        <w:rPr>
          <w:rFonts w:ascii="Verdana" w:hAnsi="Verdana"/>
          <w:sz w:val="20"/>
        </w:rPr>
        <w:t>) establecimiento de un centro salud en la aldea de Plan de Sánchez con el personal y las condiciones adecuadas, así como la formación del personal del Centro de Salud Municipal de Rabinal para que puedan brindar atención médica y  psicológica, a las personas que se hayan visto afectadas y que requieran de este tipo de tratamiento.</w:t>
      </w:r>
    </w:p>
    <w:p w14:paraId="3B786DFE" w14:textId="77777777" w:rsidR="00EF6155" w:rsidRPr="00EF3BE8" w:rsidRDefault="00EF6155" w:rsidP="00EF3BE8">
      <w:pPr>
        <w:pStyle w:val="Prrafodelista"/>
        <w:jc w:val="both"/>
        <w:rPr>
          <w:rFonts w:ascii="Verdana" w:hAnsi="Verdana"/>
          <w:sz w:val="20"/>
          <w:szCs w:val="20"/>
          <w:lang w:val="es-CR"/>
        </w:rPr>
      </w:pPr>
    </w:p>
    <w:p w14:paraId="23DEF9A7" w14:textId="0AACD140" w:rsidR="00D97588" w:rsidRPr="00EF3BE8" w:rsidRDefault="00EF6155" w:rsidP="00EF3BE8">
      <w:pPr>
        <w:pStyle w:val="Textoindependiente2"/>
        <w:numPr>
          <w:ilvl w:val="0"/>
          <w:numId w:val="1"/>
        </w:numPr>
        <w:rPr>
          <w:rFonts w:ascii="Verdana" w:hAnsi="Verdana"/>
          <w:sz w:val="20"/>
        </w:rPr>
      </w:pPr>
      <w:r w:rsidRPr="00EF3BE8">
        <w:rPr>
          <w:rFonts w:ascii="Verdana" w:hAnsi="Verdana"/>
          <w:sz w:val="20"/>
        </w:rPr>
        <w:lastRenderedPageBreak/>
        <w:t xml:space="preserve">Hacer el pago por concepto de costas y gastos en procedimientos internacional al Centro para la Acción Legal en Derechos Humanos, en los términos de los párrafos 116, 117 y 119 de la presente Sentencia. </w:t>
      </w:r>
    </w:p>
    <w:p w14:paraId="22E43B8D" w14:textId="77777777" w:rsidR="00D97588" w:rsidRPr="00EF3BE8" w:rsidRDefault="00D97588" w:rsidP="00EF3BE8">
      <w:pPr>
        <w:pStyle w:val="Textoindependiente2"/>
        <w:rPr>
          <w:rFonts w:ascii="Verdana" w:hAnsi="Verdana"/>
          <w:sz w:val="20"/>
        </w:rPr>
      </w:pPr>
    </w:p>
    <w:p w14:paraId="28CE6F71" w14:textId="5E645ECD" w:rsidR="00D97588" w:rsidRPr="00EF3BE8" w:rsidRDefault="00D97588" w:rsidP="00EF3BE8">
      <w:pPr>
        <w:pStyle w:val="Textoindependiente2"/>
        <w:numPr>
          <w:ilvl w:val="0"/>
          <w:numId w:val="1"/>
        </w:numPr>
        <w:rPr>
          <w:rFonts w:ascii="Verdana" w:hAnsi="Verdana"/>
          <w:sz w:val="20"/>
        </w:rPr>
      </w:pPr>
      <w:r w:rsidRPr="00EF3BE8">
        <w:rPr>
          <w:rFonts w:ascii="Verdana" w:hAnsi="Verdana"/>
          <w:sz w:val="20"/>
        </w:rPr>
        <w:t>H</w:t>
      </w:r>
      <w:r w:rsidRPr="00EF3BE8">
        <w:rPr>
          <w:rFonts w:ascii="Verdana" w:hAnsi="Verdana"/>
          <w:sz w:val="20"/>
        </w:rPr>
        <w:t xml:space="preserve">acer los pagos por concepto de daño material a cada una de víctimas del presente caso, en los términos de los párrafos 72 a 76 y 117 de la presente Sentencia. </w:t>
      </w:r>
    </w:p>
    <w:p w14:paraId="4B95BFF4" w14:textId="77777777" w:rsidR="00D97588" w:rsidRPr="00EF3BE8" w:rsidRDefault="00D97588" w:rsidP="00EF3BE8">
      <w:pPr>
        <w:pStyle w:val="Textoindependiente2"/>
        <w:rPr>
          <w:rFonts w:ascii="Verdana" w:hAnsi="Verdana"/>
          <w:sz w:val="20"/>
        </w:rPr>
      </w:pPr>
    </w:p>
    <w:p w14:paraId="44960EB7" w14:textId="6EC9D5AD" w:rsidR="00D97588" w:rsidRPr="00EF3BE8" w:rsidRDefault="00D97588" w:rsidP="00EF3BE8">
      <w:pPr>
        <w:pStyle w:val="Textoindependiente2"/>
        <w:numPr>
          <w:ilvl w:val="0"/>
          <w:numId w:val="1"/>
        </w:numPr>
        <w:rPr>
          <w:rFonts w:ascii="Verdana" w:hAnsi="Verdana"/>
          <w:sz w:val="20"/>
        </w:rPr>
      </w:pPr>
      <w:r w:rsidRPr="00EF3BE8">
        <w:rPr>
          <w:rFonts w:ascii="Verdana" w:hAnsi="Verdana"/>
          <w:sz w:val="20"/>
        </w:rPr>
        <w:t>H</w:t>
      </w:r>
      <w:r w:rsidRPr="00EF3BE8">
        <w:rPr>
          <w:rFonts w:ascii="Verdana" w:hAnsi="Verdana"/>
          <w:sz w:val="20"/>
        </w:rPr>
        <w:t>acer los pagos por concepto de daño inmaterial a cada una de víctimas del presente caso, en los términos de los párrafos 80 a 89 y 117 de la presente Sentencia.</w:t>
      </w:r>
    </w:p>
    <w:p w14:paraId="50173F70" w14:textId="77777777" w:rsidR="00D97588" w:rsidRPr="00EF3BE8" w:rsidRDefault="00D97588" w:rsidP="00EF3BE8">
      <w:pPr>
        <w:pStyle w:val="Textoindependiente2"/>
        <w:rPr>
          <w:rFonts w:ascii="Verdana" w:hAnsi="Verdana"/>
          <w:sz w:val="20"/>
        </w:rPr>
      </w:pPr>
    </w:p>
    <w:p w14:paraId="16620374" w14:textId="0BD20AF5" w:rsidR="003A7F64" w:rsidRPr="00EF3BE8" w:rsidRDefault="00D97588" w:rsidP="00EF3BE8">
      <w:pPr>
        <w:pStyle w:val="Textoindependiente2"/>
        <w:numPr>
          <w:ilvl w:val="0"/>
          <w:numId w:val="1"/>
        </w:numPr>
        <w:rPr>
          <w:rFonts w:ascii="Verdana" w:hAnsi="Verdana"/>
          <w:sz w:val="20"/>
        </w:rPr>
      </w:pPr>
      <w:r w:rsidRPr="00EF3BE8">
        <w:rPr>
          <w:rFonts w:ascii="Verdana" w:hAnsi="Verdana"/>
          <w:sz w:val="20"/>
        </w:rPr>
        <w:t>P</w:t>
      </w:r>
      <w:r w:rsidRPr="00EF3BE8">
        <w:rPr>
          <w:rFonts w:ascii="Verdana" w:hAnsi="Verdana"/>
          <w:sz w:val="20"/>
        </w:rPr>
        <w:t>agar la cantidad total de la indemnización ordenada por concepto de daño material, daño inmaterial, costas y gastos establecidos en la presente Sentencia, sin que ninguno de los rubros que la componen pueda ser objeto de impuesto, gravamen o tasa actualmente existente o que pudiera decretarse en el futuro.</w:t>
      </w:r>
    </w:p>
    <w:p w14:paraId="13FB00B8" w14:textId="77777777" w:rsidR="003A7F64" w:rsidRPr="00EF3BE8" w:rsidRDefault="003A7F64" w:rsidP="00EF3BE8">
      <w:pPr>
        <w:pStyle w:val="Textoindependiente2"/>
        <w:rPr>
          <w:rFonts w:ascii="Verdana" w:hAnsi="Verdana"/>
          <w:sz w:val="20"/>
        </w:rPr>
      </w:pPr>
    </w:p>
    <w:p w14:paraId="584AC262" w14:textId="42A5160F" w:rsidR="003A7F64" w:rsidRPr="00EF3BE8" w:rsidRDefault="003A7F64" w:rsidP="00EF3BE8">
      <w:pPr>
        <w:pStyle w:val="Textoindependiente2"/>
        <w:numPr>
          <w:ilvl w:val="0"/>
          <w:numId w:val="1"/>
        </w:numPr>
        <w:rPr>
          <w:rFonts w:ascii="Verdana" w:hAnsi="Verdana"/>
          <w:sz w:val="20"/>
        </w:rPr>
      </w:pPr>
      <w:r w:rsidRPr="00EF3BE8">
        <w:rPr>
          <w:rFonts w:ascii="Verdana" w:hAnsi="Verdana"/>
          <w:sz w:val="20"/>
        </w:rPr>
        <w:t>C</w:t>
      </w:r>
      <w:r w:rsidRPr="00EF3BE8">
        <w:rPr>
          <w:rFonts w:ascii="Verdana" w:hAnsi="Verdana"/>
          <w:sz w:val="20"/>
        </w:rPr>
        <w:t>umplir las medidas de reparación y de reembolso de gastos dispuestas en la presente Sentencia, dentro del plazo de un año contado a partir de la notificación de ésta, salvo cuando se fijan plazos distintos</w:t>
      </w:r>
    </w:p>
    <w:p w14:paraId="524C0382" w14:textId="77777777" w:rsidR="003A7F64" w:rsidRPr="00EF3BE8" w:rsidRDefault="003A7F64" w:rsidP="00EF3BE8">
      <w:pPr>
        <w:pStyle w:val="Textoindependiente2"/>
        <w:rPr>
          <w:rFonts w:ascii="Verdana" w:hAnsi="Verdana"/>
          <w:sz w:val="20"/>
        </w:rPr>
      </w:pPr>
    </w:p>
    <w:p w14:paraId="6A09D5F5" w14:textId="19CDDEC5" w:rsidR="003A7F64" w:rsidRPr="00EF3BE8" w:rsidRDefault="003A7F64" w:rsidP="00EF3BE8">
      <w:pPr>
        <w:pStyle w:val="Textoindependiente2"/>
        <w:numPr>
          <w:ilvl w:val="0"/>
          <w:numId w:val="1"/>
        </w:numPr>
        <w:rPr>
          <w:rFonts w:ascii="Verdana" w:hAnsi="Verdana"/>
          <w:sz w:val="20"/>
        </w:rPr>
      </w:pPr>
      <w:r w:rsidRPr="00EF3BE8">
        <w:rPr>
          <w:rFonts w:ascii="Verdana" w:hAnsi="Verdana"/>
          <w:sz w:val="20"/>
        </w:rPr>
        <w:t xml:space="preserve"> En caso de que el Estado incurriese en mora, </w:t>
      </w:r>
      <w:r w:rsidRPr="00EF3BE8">
        <w:rPr>
          <w:rFonts w:ascii="Verdana" w:hAnsi="Verdana"/>
          <w:sz w:val="20"/>
        </w:rPr>
        <w:t>[…]</w:t>
      </w:r>
      <w:r w:rsidRPr="00EF3BE8">
        <w:rPr>
          <w:rFonts w:ascii="Verdana" w:hAnsi="Verdana"/>
          <w:sz w:val="20"/>
        </w:rPr>
        <w:t xml:space="preserve"> pagar un interés sobre la cantidad adeudada que corresponderá al interés bancario moratorio en Guatemala, en los términos del párrafo 123 de la presente Sentencia.</w:t>
      </w:r>
    </w:p>
    <w:p w14:paraId="09E7E21E" w14:textId="77777777" w:rsidR="003A7F64" w:rsidRPr="00EF3BE8" w:rsidRDefault="003A7F64" w:rsidP="00EF3BE8">
      <w:pPr>
        <w:pStyle w:val="Textoindependiente2"/>
        <w:rPr>
          <w:rFonts w:ascii="Verdana" w:hAnsi="Verdana"/>
          <w:sz w:val="20"/>
        </w:rPr>
      </w:pPr>
    </w:p>
    <w:p w14:paraId="7491A237" w14:textId="77777777" w:rsidR="007A20ED" w:rsidRPr="00EF3BE8" w:rsidRDefault="00B5500D" w:rsidP="00EF3BE8">
      <w:pPr>
        <w:spacing w:after="0" w:line="240" w:lineRule="auto"/>
        <w:jc w:val="both"/>
        <w:rPr>
          <w:rFonts w:ascii="Verdana" w:hAnsi="Verdana"/>
          <w:b/>
          <w:sz w:val="20"/>
          <w:szCs w:val="20"/>
          <w:lang w:val="es-ES_tradnl"/>
        </w:rPr>
      </w:pPr>
      <w:r w:rsidRPr="00EF3BE8">
        <w:rPr>
          <w:rFonts w:ascii="Verdana" w:hAnsi="Verdana"/>
          <w:b/>
          <w:sz w:val="20"/>
          <w:szCs w:val="20"/>
          <w:lang w:val="es-ES_tradnl"/>
        </w:rPr>
        <w:t>Cumplimiento parcial:</w:t>
      </w:r>
    </w:p>
    <w:p w14:paraId="1208FEB6" w14:textId="77777777" w:rsidR="007A20ED" w:rsidRPr="00EF3BE8" w:rsidRDefault="007A20ED" w:rsidP="00EF3BE8">
      <w:pPr>
        <w:spacing w:after="0" w:line="240" w:lineRule="auto"/>
        <w:jc w:val="both"/>
        <w:rPr>
          <w:rFonts w:ascii="Verdana" w:hAnsi="Verdana"/>
          <w:b/>
          <w:sz w:val="20"/>
          <w:szCs w:val="20"/>
          <w:lang w:val="es-ES_tradnl"/>
        </w:rPr>
      </w:pPr>
    </w:p>
    <w:p w14:paraId="7CC38DCB" w14:textId="77777777" w:rsidR="003A7F64" w:rsidRPr="00EF3BE8" w:rsidRDefault="003A7F64" w:rsidP="00EF3BE8">
      <w:pPr>
        <w:pStyle w:val="Textoindependiente2"/>
        <w:numPr>
          <w:ilvl w:val="0"/>
          <w:numId w:val="1"/>
        </w:numPr>
        <w:rPr>
          <w:rFonts w:ascii="Verdana" w:hAnsi="Verdana"/>
          <w:sz w:val="20"/>
          <w:lang w:val="es-MX"/>
        </w:rPr>
      </w:pPr>
      <w:r w:rsidRPr="00EF3BE8">
        <w:rPr>
          <w:rFonts w:ascii="Verdana" w:hAnsi="Verdana"/>
          <w:sz w:val="20"/>
        </w:rPr>
        <w:t xml:space="preserve">Investigar efectivamente los hechos de la Masacre Plan de Sánchez con el fin de identificar, juzgar y sancionar a sus autores materiales e intelectuales, en los términos de los párrafos 94 a 99 de la presente Sentencia. </w:t>
      </w:r>
    </w:p>
    <w:p w14:paraId="366279D3" w14:textId="77777777" w:rsidR="00F31CB1" w:rsidRPr="00EF3BE8" w:rsidRDefault="00F31CB1" w:rsidP="00EF3BE8">
      <w:pPr>
        <w:pStyle w:val="Textoindependiente2"/>
        <w:ind w:left="360"/>
        <w:rPr>
          <w:rFonts w:ascii="Verdana" w:hAnsi="Verdana"/>
          <w:sz w:val="20"/>
          <w:lang w:val="es-MX"/>
        </w:rPr>
      </w:pPr>
    </w:p>
    <w:p w14:paraId="7AE8519D" w14:textId="77777777" w:rsidR="00F31CB1" w:rsidRPr="00EF3BE8" w:rsidRDefault="00F31CB1" w:rsidP="00EF3BE8">
      <w:pPr>
        <w:pStyle w:val="Textoindependiente2"/>
        <w:rPr>
          <w:rFonts w:ascii="Verdana" w:hAnsi="Verdana"/>
          <w:sz w:val="20"/>
          <w:lang w:val="es-MX"/>
        </w:rPr>
      </w:pPr>
      <w:r w:rsidRPr="00EF3BE8">
        <w:rPr>
          <w:rFonts w:ascii="Verdana" w:hAnsi="Verdana"/>
          <w:sz w:val="20"/>
          <w:lang w:val="es-MX"/>
        </w:rPr>
        <w:t>En los considerandos 12 y 13 de la resolución de 30 de abril de 2021, se explica lo que continúa pendiente de cumplimiento respecto a la presente medida de reparación:</w:t>
      </w:r>
    </w:p>
    <w:p w14:paraId="3D8FFC8E" w14:textId="77777777" w:rsidR="00F31CB1" w:rsidRPr="00EF3BE8" w:rsidRDefault="00F31CB1" w:rsidP="00EF3BE8">
      <w:pPr>
        <w:pStyle w:val="Textoindependiente2"/>
        <w:ind w:left="720"/>
        <w:rPr>
          <w:rFonts w:ascii="Verdana" w:hAnsi="Verdana"/>
          <w:sz w:val="20"/>
          <w:lang w:val="es-MX"/>
        </w:rPr>
      </w:pPr>
    </w:p>
    <w:p w14:paraId="57D8ABA0" w14:textId="77777777" w:rsidR="00F31CB1" w:rsidRPr="00EF3BE8" w:rsidRDefault="00F31CB1" w:rsidP="00EF3BE8">
      <w:pPr>
        <w:pStyle w:val="Textoindependiente2"/>
        <w:ind w:left="720"/>
        <w:rPr>
          <w:rFonts w:ascii="Verdana" w:hAnsi="Verdana"/>
          <w:sz w:val="18"/>
          <w:szCs w:val="18"/>
          <w:lang w:val="es-MX"/>
        </w:rPr>
      </w:pPr>
      <w:r w:rsidRPr="00EF3BE8">
        <w:rPr>
          <w:rFonts w:ascii="Verdana" w:hAnsi="Verdana"/>
          <w:sz w:val="18"/>
          <w:szCs w:val="18"/>
          <w:lang w:val="es-MX"/>
        </w:rPr>
        <w:t>12. En definitiva, debido a que en el año 2012 se determinó la responsabilidad penal cinco personas que fueron condenadas por el Tribunal Primero de Sentencia Penal, Narcoactividad y Delitos Contra el Ambiente, de Mayor Riesgo Grupo “A”, por los delitos de asesinato y delitos contra los deberes de la humanidad por los hechos correspondientes a la Masacre de Plan de Sánchez, la Corte considera que el Estado dio cumplimiento parcial a la medida dispuesta en el punto resolutivo primero de la Sentencia. Ello constituyó un importante avance respecto a la situación de total impunidad constatada en la Sentencia dictada por la Corte hace más de dieciséis años.</w:t>
      </w:r>
    </w:p>
    <w:p w14:paraId="2E3D0360" w14:textId="77777777" w:rsidR="00F31CB1" w:rsidRPr="00EF3BE8" w:rsidRDefault="00F31CB1" w:rsidP="00EF3BE8">
      <w:pPr>
        <w:pStyle w:val="Textoindependiente2"/>
        <w:ind w:left="720"/>
        <w:rPr>
          <w:rFonts w:ascii="Verdana" w:hAnsi="Verdana"/>
          <w:sz w:val="18"/>
          <w:szCs w:val="18"/>
          <w:lang w:val="es-MX"/>
        </w:rPr>
      </w:pPr>
    </w:p>
    <w:p w14:paraId="75B74314" w14:textId="77777777" w:rsidR="00F31CB1" w:rsidRPr="00EF3BE8" w:rsidRDefault="00F31CB1" w:rsidP="00EF3BE8">
      <w:pPr>
        <w:pStyle w:val="Textoindependiente2"/>
        <w:ind w:left="720"/>
        <w:rPr>
          <w:rFonts w:ascii="Verdana" w:hAnsi="Verdana"/>
          <w:sz w:val="18"/>
          <w:szCs w:val="18"/>
          <w:lang w:val="es-CR"/>
        </w:rPr>
      </w:pPr>
      <w:r w:rsidRPr="00EF3BE8">
        <w:rPr>
          <w:rFonts w:ascii="Verdana" w:hAnsi="Verdana"/>
          <w:sz w:val="18"/>
          <w:szCs w:val="18"/>
        </w:rPr>
        <w:t>13.  A fin de continuar valorando los avances en el cumplimiento de la obligación de investigar, identificar, juzgar y, eventualmente, sancionar a los responsables de los hechos, ordenada en el punto resolutivo primero de la Sentencia, este Tribunal requiere al Estado que remita información detallada, completa y actualizada, junto con el respaldo documental correspondiente, que tome en cuenta lo indicado en los párrafos precedentes, así como que acredite que ninguna decisión judicial afecte el cumplimiento de dicha obligación.</w:t>
      </w:r>
    </w:p>
    <w:p w14:paraId="129541DE" w14:textId="77777777" w:rsidR="00F31CB1" w:rsidRPr="00EF3BE8" w:rsidRDefault="00F31CB1" w:rsidP="00EF3BE8">
      <w:pPr>
        <w:pStyle w:val="Textoindependiente2"/>
        <w:rPr>
          <w:rFonts w:ascii="Verdana" w:hAnsi="Verdana"/>
          <w:sz w:val="18"/>
          <w:szCs w:val="18"/>
          <w:lang w:val="es-MX"/>
        </w:rPr>
      </w:pPr>
    </w:p>
    <w:p w14:paraId="13D0492A" w14:textId="5609EFF3" w:rsidR="00F31CB1" w:rsidRPr="00EF3BE8" w:rsidRDefault="003A7F64" w:rsidP="00EF3BE8">
      <w:pPr>
        <w:pStyle w:val="Textoindependiente2"/>
        <w:numPr>
          <w:ilvl w:val="0"/>
          <w:numId w:val="1"/>
        </w:numPr>
        <w:rPr>
          <w:rFonts w:ascii="Verdana" w:hAnsi="Verdana"/>
          <w:sz w:val="20"/>
          <w:lang w:val="es-MX"/>
        </w:rPr>
      </w:pPr>
      <w:r w:rsidRPr="00EF3BE8">
        <w:rPr>
          <w:rFonts w:ascii="Verdana" w:hAnsi="Verdana"/>
          <w:sz w:val="20"/>
          <w:lang w:val="es-MX"/>
        </w:rPr>
        <w:t>D</w:t>
      </w:r>
      <w:proofErr w:type="spellStart"/>
      <w:r w:rsidRPr="00EF3BE8">
        <w:rPr>
          <w:rFonts w:ascii="Verdana" w:hAnsi="Verdana"/>
          <w:sz w:val="20"/>
        </w:rPr>
        <w:t>esarrollar</w:t>
      </w:r>
      <w:proofErr w:type="spellEnd"/>
      <w:r w:rsidRPr="00EF3BE8">
        <w:rPr>
          <w:rFonts w:ascii="Verdana" w:hAnsi="Verdana"/>
          <w:sz w:val="20"/>
        </w:rPr>
        <w:t xml:space="preserve"> en las comunidades de Plan de Sánchez, </w:t>
      </w:r>
      <w:proofErr w:type="spellStart"/>
      <w:r w:rsidRPr="00EF3BE8">
        <w:rPr>
          <w:rFonts w:ascii="Verdana" w:hAnsi="Verdana"/>
          <w:sz w:val="20"/>
        </w:rPr>
        <w:t>Chipuerta</w:t>
      </w:r>
      <w:proofErr w:type="spellEnd"/>
      <w:r w:rsidRPr="00EF3BE8">
        <w:rPr>
          <w:rFonts w:ascii="Verdana" w:hAnsi="Verdana"/>
          <w:sz w:val="20"/>
        </w:rPr>
        <w:t xml:space="preserve">, Joya de Ramos, </w:t>
      </w:r>
      <w:proofErr w:type="spellStart"/>
      <w:r w:rsidRPr="00EF3BE8">
        <w:rPr>
          <w:rFonts w:ascii="Verdana" w:hAnsi="Verdana"/>
          <w:sz w:val="20"/>
        </w:rPr>
        <w:t>Raxjut</w:t>
      </w:r>
      <w:proofErr w:type="spellEnd"/>
      <w:r w:rsidRPr="00EF3BE8">
        <w:rPr>
          <w:rFonts w:ascii="Verdana" w:hAnsi="Verdana"/>
          <w:sz w:val="20"/>
        </w:rPr>
        <w:t xml:space="preserve">, </w:t>
      </w:r>
      <w:proofErr w:type="spellStart"/>
      <w:r w:rsidRPr="00EF3BE8">
        <w:rPr>
          <w:rFonts w:ascii="Verdana" w:hAnsi="Verdana"/>
          <w:sz w:val="20"/>
        </w:rPr>
        <w:t>Volcanillo</w:t>
      </w:r>
      <w:proofErr w:type="spellEnd"/>
      <w:r w:rsidRPr="00EF3BE8">
        <w:rPr>
          <w:rFonts w:ascii="Verdana" w:hAnsi="Verdana"/>
          <w:sz w:val="20"/>
        </w:rPr>
        <w:t xml:space="preserve">, </w:t>
      </w:r>
      <w:proofErr w:type="spellStart"/>
      <w:r w:rsidRPr="00EF3BE8">
        <w:rPr>
          <w:rFonts w:ascii="Verdana" w:hAnsi="Verdana"/>
          <w:sz w:val="20"/>
        </w:rPr>
        <w:t>Coxojabaj</w:t>
      </w:r>
      <w:proofErr w:type="spellEnd"/>
      <w:r w:rsidRPr="00EF3BE8">
        <w:rPr>
          <w:rFonts w:ascii="Verdana" w:hAnsi="Verdana"/>
          <w:sz w:val="20"/>
        </w:rPr>
        <w:t xml:space="preserve">, Las Tunas, Las Minas, Las Ventanas, Ixchel, </w:t>
      </w:r>
      <w:proofErr w:type="spellStart"/>
      <w:r w:rsidRPr="00EF3BE8">
        <w:rPr>
          <w:rFonts w:ascii="Verdana" w:hAnsi="Verdana"/>
          <w:sz w:val="20"/>
        </w:rPr>
        <w:t>Chiac</w:t>
      </w:r>
      <w:proofErr w:type="spellEnd"/>
      <w:r w:rsidRPr="00EF3BE8">
        <w:rPr>
          <w:rFonts w:ascii="Verdana" w:hAnsi="Verdana"/>
          <w:sz w:val="20"/>
        </w:rPr>
        <w:t xml:space="preserve">, </w:t>
      </w:r>
      <w:proofErr w:type="spellStart"/>
      <w:r w:rsidRPr="00EF3BE8">
        <w:rPr>
          <w:rFonts w:ascii="Verdana" w:hAnsi="Verdana"/>
          <w:sz w:val="20"/>
        </w:rPr>
        <w:t>Concul</w:t>
      </w:r>
      <w:proofErr w:type="spellEnd"/>
      <w:r w:rsidRPr="00EF3BE8">
        <w:rPr>
          <w:rFonts w:ascii="Verdana" w:hAnsi="Verdana"/>
          <w:sz w:val="20"/>
        </w:rPr>
        <w:t xml:space="preserve"> y </w:t>
      </w:r>
      <w:proofErr w:type="spellStart"/>
      <w:r w:rsidRPr="00EF3BE8">
        <w:rPr>
          <w:rFonts w:ascii="Verdana" w:hAnsi="Verdana"/>
          <w:sz w:val="20"/>
        </w:rPr>
        <w:t>Chichupac</w:t>
      </w:r>
      <w:proofErr w:type="spellEnd"/>
      <w:r w:rsidRPr="00EF3BE8">
        <w:rPr>
          <w:rFonts w:ascii="Verdana" w:hAnsi="Verdana"/>
          <w:sz w:val="20"/>
        </w:rPr>
        <w:t xml:space="preserve"> los siguientes programas: b) mantenimiento y mejoras en el sistema de comunicación vial entre las indicadas comunidades y la cabecera municipal de Rabinal</w:t>
      </w:r>
      <w:r w:rsidRPr="00EF3BE8">
        <w:rPr>
          <w:rFonts w:ascii="Verdana" w:hAnsi="Verdana"/>
          <w:sz w:val="20"/>
        </w:rPr>
        <w:t>.</w:t>
      </w:r>
    </w:p>
    <w:p w14:paraId="56472953" w14:textId="77777777" w:rsidR="003A7F64" w:rsidRPr="00EF3BE8" w:rsidRDefault="003A7F64" w:rsidP="00EF3BE8">
      <w:pPr>
        <w:pStyle w:val="Textoindependiente2"/>
        <w:ind w:left="360"/>
        <w:rPr>
          <w:rFonts w:ascii="Verdana" w:hAnsi="Verdana"/>
          <w:sz w:val="20"/>
          <w:lang w:val="es-MX"/>
        </w:rPr>
      </w:pPr>
    </w:p>
    <w:p w14:paraId="38938430" w14:textId="58E55C12" w:rsidR="00F31CB1" w:rsidRPr="00EF3BE8" w:rsidRDefault="00F31CB1" w:rsidP="00EF3BE8">
      <w:pPr>
        <w:pStyle w:val="Textoindependiente2"/>
        <w:rPr>
          <w:rFonts w:ascii="Verdana" w:hAnsi="Verdana"/>
          <w:sz w:val="20"/>
          <w:lang w:val="es-MX"/>
        </w:rPr>
      </w:pPr>
      <w:r w:rsidRPr="00EF3BE8">
        <w:rPr>
          <w:rFonts w:ascii="Verdana" w:hAnsi="Verdana"/>
          <w:sz w:val="20"/>
          <w:lang w:val="es-MX"/>
        </w:rPr>
        <w:t xml:space="preserve">En los considerandos 40 y 41 de la </w:t>
      </w:r>
      <w:r w:rsidR="00704FBF" w:rsidRPr="00EF3BE8">
        <w:rPr>
          <w:rFonts w:ascii="Verdana" w:hAnsi="Verdana"/>
          <w:sz w:val="20"/>
          <w:lang w:val="es-MX"/>
        </w:rPr>
        <w:t>R</w:t>
      </w:r>
      <w:r w:rsidRPr="00EF3BE8">
        <w:rPr>
          <w:rFonts w:ascii="Verdana" w:hAnsi="Verdana"/>
          <w:sz w:val="20"/>
          <w:lang w:val="es-MX"/>
        </w:rPr>
        <w:t>esolución de 30 de abril de 2021, se explica lo que continúa pendiente de cumplimiento respecto a la presente medida de reparación:</w:t>
      </w:r>
    </w:p>
    <w:p w14:paraId="0E42EB33" w14:textId="77777777" w:rsidR="00F31CB1" w:rsidRPr="00EF3BE8" w:rsidRDefault="00F31CB1" w:rsidP="00EF3BE8">
      <w:pPr>
        <w:pStyle w:val="Textoindependiente2"/>
        <w:ind w:left="720"/>
        <w:rPr>
          <w:rFonts w:ascii="Verdana" w:hAnsi="Verdana"/>
          <w:sz w:val="20"/>
        </w:rPr>
      </w:pPr>
    </w:p>
    <w:p w14:paraId="3845BB20" w14:textId="77777777" w:rsidR="00F31CB1" w:rsidRPr="00EF3BE8" w:rsidRDefault="00F31CB1" w:rsidP="00EF3BE8">
      <w:pPr>
        <w:pStyle w:val="Textoindependiente2"/>
        <w:ind w:left="720"/>
        <w:rPr>
          <w:rFonts w:ascii="Verdana" w:hAnsi="Verdana"/>
          <w:sz w:val="18"/>
          <w:szCs w:val="18"/>
        </w:rPr>
      </w:pPr>
      <w:r w:rsidRPr="00EF3BE8">
        <w:rPr>
          <w:rFonts w:ascii="Verdana" w:hAnsi="Verdana"/>
          <w:sz w:val="18"/>
          <w:szCs w:val="18"/>
        </w:rPr>
        <w:t xml:space="preserve">40. Por todo lo expuesto, la Corte considera que el Estado ha dado un cumplimiento parcial a esta medida de reparación debido a </w:t>
      </w:r>
      <w:proofErr w:type="gramStart"/>
      <w:r w:rsidRPr="00EF3BE8">
        <w:rPr>
          <w:rFonts w:ascii="Verdana" w:hAnsi="Verdana"/>
          <w:sz w:val="18"/>
          <w:szCs w:val="18"/>
        </w:rPr>
        <w:t>que</w:t>
      </w:r>
      <w:proofErr w:type="gramEnd"/>
      <w:r w:rsidRPr="00EF3BE8">
        <w:rPr>
          <w:rFonts w:ascii="Verdana" w:hAnsi="Verdana"/>
          <w:sz w:val="18"/>
          <w:szCs w:val="18"/>
        </w:rPr>
        <w:t xml:space="preserve"> en ocho de las 13 comunidades beneficiarias de la reparación ordenada, se llevaron a cabo trabajos de mantenimiento en la red vial. Sin embargo, persisten los problemas de falta de durabilidad de las mejoras por el material que se utiliza (supra Considerando 37), lo cual repercute en que la carretera vuelva a ser peligrosa e intransitable con la temporada de lluvias y los consecuentes perjuicios para el adecuado desplazamiento de los pobladores, atención de salud, comercialización de productos, etc. Por otro lado, la Corte concluye que persiste la falta de trabajos de mantenimiento en el sistema de comunicación vial en las restantes cinco comunidades (Las Tunas, Las Minas, Ixchel, </w:t>
      </w:r>
      <w:proofErr w:type="spellStart"/>
      <w:r w:rsidRPr="00EF3BE8">
        <w:rPr>
          <w:rFonts w:ascii="Verdana" w:hAnsi="Verdana"/>
          <w:sz w:val="18"/>
          <w:szCs w:val="18"/>
        </w:rPr>
        <w:t>Chiac</w:t>
      </w:r>
      <w:proofErr w:type="spellEnd"/>
      <w:r w:rsidRPr="00EF3BE8">
        <w:rPr>
          <w:rFonts w:ascii="Verdana" w:hAnsi="Verdana"/>
          <w:sz w:val="18"/>
          <w:szCs w:val="18"/>
        </w:rPr>
        <w:t xml:space="preserve"> y </w:t>
      </w:r>
      <w:proofErr w:type="spellStart"/>
      <w:r w:rsidRPr="00EF3BE8">
        <w:rPr>
          <w:rFonts w:ascii="Verdana" w:hAnsi="Verdana"/>
          <w:sz w:val="18"/>
          <w:szCs w:val="18"/>
        </w:rPr>
        <w:t>Chichupac</w:t>
      </w:r>
      <w:proofErr w:type="spellEnd"/>
      <w:r w:rsidRPr="00EF3BE8">
        <w:rPr>
          <w:rFonts w:ascii="Verdana" w:hAnsi="Verdana"/>
          <w:sz w:val="18"/>
          <w:szCs w:val="18"/>
        </w:rPr>
        <w:t xml:space="preserve">), ya que el Estado no presentó información al respecto, y los representantes sostuvieron que no se realizaron. </w:t>
      </w:r>
    </w:p>
    <w:p w14:paraId="66288BEC" w14:textId="77777777" w:rsidR="00F31CB1" w:rsidRPr="00EF3BE8" w:rsidRDefault="00F31CB1" w:rsidP="00EF3BE8">
      <w:pPr>
        <w:pStyle w:val="Textoindependiente2"/>
        <w:ind w:left="720"/>
        <w:rPr>
          <w:rFonts w:ascii="Verdana" w:hAnsi="Verdana"/>
          <w:sz w:val="18"/>
          <w:szCs w:val="18"/>
        </w:rPr>
      </w:pPr>
    </w:p>
    <w:p w14:paraId="3C8CB9A5" w14:textId="77777777" w:rsidR="00F31CB1" w:rsidRPr="00EF3BE8" w:rsidRDefault="00F31CB1" w:rsidP="00EF3BE8">
      <w:pPr>
        <w:pStyle w:val="Textoindependiente2"/>
        <w:ind w:left="720"/>
        <w:rPr>
          <w:rFonts w:ascii="Verdana" w:hAnsi="Verdana"/>
          <w:sz w:val="18"/>
          <w:szCs w:val="18"/>
        </w:rPr>
      </w:pPr>
      <w:r w:rsidRPr="00EF3BE8">
        <w:rPr>
          <w:rFonts w:ascii="Verdana" w:hAnsi="Verdana"/>
          <w:sz w:val="18"/>
          <w:szCs w:val="18"/>
        </w:rPr>
        <w:t>41. Tomando en cuenta que aún persiste la falta de trabajos de mantenimiento en el sistema de comunicación vial en cinco comunidades, y que en las comunidades en que este se ha realizado, se continúan presentando deficiencias en la durabilidad de los materiales que derivan en que en la época de lluvias los caminos se tornen difíciles de transitar, la Corte considera que se encuentra pendiente de cumplimiento la reparación ordenada en el punto resolutivo noveno, literal b) de la Sentencia, relativa a desarrollar en las comunidades un programa de mantenimiento y mejoras en el sistema de comunicación vial entre las indicadas comunidades y la cabecera municipal de Rabinal.</w:t>
      </w:r>
    </w:p>
    <w:p w14:paraId="7DBAD1C5" w14:textId="77777777" w:rsidR="009175D0" w:rsidRPr="00EF3BE8" w:rsidRDefault="009175D0" w:rsidP="009175D0">
      <w:pPr>
        <w:pStyle w:val="Textoindependiente2"/>
        <w:ind w:left="720"/>
        <w:rPr>
          <w:rFonts w:ascii="Verdana" w:eastAsiaTheme="minorHAnsi" w:hAnsi="Verdana" w:cstheme="minorBidi"/>
          <w:sz w:val="16"/>
          <w:szCs w:val="16"/>
          <w:lang w:val="es-MX" w:eastAsia="en-US"/>
        </w:rPr>
      </w:pPr>
    </w:p>
    <w:p w14:paraId="030E62D0" w14:textId="77777777" w:rsidR="00464F8D" w:rsidRPr="00EF3BE8" w:rsidRDefault="00464F8D" w:rsidP="00EF6155">
      <w:pPr>
        <w:spacing w:after="0" w:line="240" w:lineRule="auto"/>
        <w:rPr>
          <w:rFonts w:ascii="Verdana" w:hAnsi="Verdana"/>
          <w:sz w:val="18"/>
          <w:szCs w:val="18"/>
          <w:lang w:val="es-MX"/>
        </w:rPr>
      </w:pPr>
    </w:p>
    <w:p w14:paraId="59F17CEF" w14:textId="77777777" w:rsidR="00D30FD7" w:rsidRPr="00EF3BE8" w:rsidRDefault="00D30FD7" w:rsidP="00D30FD7">
      <w:pPr>
        <w:spacing w:after="0" w:line="240" w:lineRule="auto"/>
        <w:ind w:left="360" w:right="720"/>
        <w:jc w:val="both"/>
        <w:rPr>
          <w:rFonts w:ascii="Verdana" w:hAnsi="Verdana"/>
          <w:b/>
          <w:sz w:val="18"/>
          <w:szCs w:val="18"/>
          <w:lang w:val="es-MX"/>
        </w:rPr>
      </w:pPr>
    </w:p>
    <w:sectPr w:rsidR="00D30FD7" w:rsidRPr="00EF3B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20A5" w14:textId="77777777" w:rsidR="00B23626" w:rsidRDefault="00B23626" w:rsidP="0058445E">
      <w:pPr>
        <w:spacing w:after="0" w:line="240" w:lineRule="auto"/>
      </w:pPr>
      <w:r>
        <w:separator/>
      </w:r>
    </w:p>
  </w:endnote>
  <w:endnote w:type="continuationSeparator" w:id="0">
    <w:p w14:paraId="6FEA8D81" w14:textId="77777777" w:rsidR="00B23626" w:rsidRDefault="00B23626" w:rsidP="0058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68E1" w14:textId="77777777" w:rsidR="0058445E" w:rsidRPr="00A950A1" w:rsidRDefault="0058445E" w:rsidP="0058445E">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602E92" w14:textId="77777777" w:rsidR="0058445E" w:rsidRPr="0058445E" w:rsidRDefault="0058445E">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BF96" w14:textId="77777777" w:rsidR="00B23626" w:rsidRDefault="00B23626" w:rsidP="0058445E">
      <w:pPr>
        <w:spacing w:after="0" w:line="240" w:lineRule="auto"/>
      </w:pPr>
      <w:r>
        <w:separator/>
      </w:r>
    </w:p>
  </w:footnote>
  <w:footnote w:type="continuationSeparator" w:id="0">
    <w:p w14:paraId="28A52BA3" w14:textId="77777777" w:rsidR="00B23626" w:rsidRDefault="00B23626" w:rsidP="0058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682764"/>
      <w:docPartObj>
        <w:docPartGallery w:val="Page Numbers (Top of Page)"/>
        <w:docPartUnique/>
      </w:docPartObj>
    </w:sdtPr>
    <w:sdtEndPr>
      <w:rPr>
        <w:rFonts w:ascii="Verdana" w:hAnsi="Verdana"/>
        <w:noProof/>
        <w:sz w:val="20"/>
        <w:szCs w:val="20"/>
      </w:rPr>
    </w:sdtEndPr>
    <w:sdtContent>
      <w:p w14:paraId="7A47269D" w14:textId="77777777" w:rsidR="0058445E" w:rsidRPr="0058445E" w:rsidRDefault="0058445E">
        <w:pPr>
          <w:pStyle w:val="Encabezado"/>
          <w:jc w:val="right"/>
          <w:rPr>
            <w:rFonts w:ascii="Verdana" w:hAnsi="Verdana"/>
            <w:sz w:val="20"/>
            <w:szCs w:val="20"/>
          </w:rPr>
        </w:pPr>
        <w:r w:rsidRPr="0058445E">
          <w:rPr>
            <w:rFonts w:ascii="Verdana" w:hAnsi="Verdana"/>
            <w:sz w:val="20"/>
            <w:szCs w:val="20"/>
          </w:rPr>
          <w:fldChar w:fldCharType="begin"/>
        </w:r>
        <w:r w:rsidRPr="0058445E">
          <w:rPr>
            <w:rFonts w:ascii="Verdana" w:hAnsi="Verdana"/>
            <w:sz w:val="20"/>
            <w:szCs w:val="20"/>
          </w:rPr>
          <w:instrText xml:space="preserve"> PAGE   \* MERGEFORMAT </w:instrText>
        </w:r>
        <w:r w:rsidRPr="0058445E">
          <w:rPr>
            <w:rFonts w:ascii="Verdana" w:hAnsi="Verdana"/>
            <w:sz w:val="20"/>
            <w:szCs w:val="20"/>
          </w:rPr>
          <w:fldChar w:fldCharType="separate"/>
        </w:r>
        <w:r w:rsidR="00F31CB1">
          <w:rPr>
            <w:rFonts w:ascii="Verdana" w:hAnsi="Verdana"/>
            <w:noProof/>
            <w:sz w:val="20"/>
            <w:szCs w:val="20"/>
          </w:rPr>
          <w:t>2</w:t>
        </w:r>
        <w:r w:rsidRPr="0058445E">
          <w:rPr>
            <w:rFonts w:ascii="Verdana" w:hAnsi="Verdana"/>
            <w:noProof/>
            <w:sz w:val="20"/>
            <w:szCs w:val="20"/>
          </w:rPr>
          <w:fldChar w:fldCharType="end"/>
        </w:r>
      </w:p>
    </w:sdtContent>
  </w:sdt>
  <w:p w14:paraId="16A15FF4" w14:textId="77777777" w:rsidR="0058445E" w:rsidRDefault="005844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B06F4"/>
    <w:multiLevelType w:val="hybridMultilevel"/>
    <w:tmpl w:val="E00833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5E"/>
    <w:rsid w:val="00140CB3"/>
    <w:rsid w:val="001F054C"/>
    <w:rsid w:val="0027487E"/>
    <w:rsid w:val="002D04D5"/>
    <w:rsid w:val="003A7E5E"/>
    <w:rsid w:val="003A7F64"/>
    <w:rsid w:val="003D3757"/>
    <w:rsid w:val="00464F8D"/>
    <w:rsid w:val="0058445E"/>
    <w:rsid w:val="00704FBF"/>
    <w:rsid w:val="007A20ED"/>
    <w:rsid w:val="007E19E7"/>
    <w:rsid w:val="00825FE6"/>
    <w:rsid w:val="009175D0"/>
    <w:rsid w:val="009832C0"/>
    <w:rsid w:val="00A61417"/>
    <w:rsid w:val="00B23626"/>
    <w:rsid w:val="00B5500D"/>
    <w:rsid w:val="00CA4D01"/>
    <w:rsid w:val="00D30FD7"/>
    <w:rsid w:val="00D97588"/>
    <w:rsid w:val="00EF3BE8"/>
    <w:rsid w:val="00EF6155"/>
    <w:rsid w:val="00F31CB1"/>
    <w:rsid w:val="00FE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16B9"/>
  <w15:docId w15:val="{1AD84B12-8DEF-4CC7-AC09-ECC49B7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58445E"/>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8445E"/>
    <w:rPr>
      <w:rFonts w:ascii="Garamond" w:eastAsia="Times New Roman" w:hAnsi="Garamond" w:cs="Times New Roman"/>
      <w:b/>
      <w:smallCaps/>
      <w:sz w:val="24"/>
      <w:szCs w:val="20"/>
      <w:lang w:val="es-ES_tradnl" w:eastAsia="es-ES"/>
    </w:rPr>
  </w:style>
  <w:style w:type="paragraph" w:styleId="Encabezado">
    <w:name w:val="header"/>
    <w:basedOn w:val="Normal"/>
    <w:link w:val="EncabezadoCar"/>
    <w:uiPriority w:val="99"/>
    <w:unhideWhenUsed/>
    <w:rsid w:val="0058445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8445E"/>
  </w:style>
  <w:style w:type="paragraph" w:styleId="Piedepgina">
    <w:name w:val="footer"/>
    <w:basedOn w:val="Normal"/>
    <w:link w:val="PiedepginaCar"/>
    <w:uiPriority w:val="99"/>
    <w:unhideWhenUsed/>
    <w:rsid w:val="005844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8445E"/>
  </w:style>
  <w:style w:type="paragraph" w:styleId="Textoindependiente2">
    <w:name w:val="Body Text 2"/>
    <w:basedOn w:val="Normal"/>
    <w:link w:val="Textoindependiente2Car"/>
    <w:rsid w:val="00B5500D"/>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basedOn w:val="Fuentedeprrafopredeter"/>
    <w:link w:val="Textoindependiente2"/>
    <w:rsid w:val="00B5500D"/>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B5500D"/>
    <w:pPr>
      <w:widowControl w:val="0"/>
      <w:spacing w:after="0" w:line="240" w:lineRule="auto"/>
      <w:ind w:left="720"/>
      <w:jc w:val="both"/>
    </w:pPr>
    <w:rPr>
      <w:rFonts w:ascii="Univers" w:eastAsia="Times New Roman" w:hAnsi="Univers" w:cs="Times New Roman"/>
      <w:sz w:val="20"/>
      <w:szCs w:val="20"/>
      <w:lang w:val="es-CO" w:eastAsia="es-ES"/>
    </w:rPr>
  </w:style>
  <w:style w:type="character" w:customStyle="1" w:styleId="SangradetextonormalCar">
    <w:name w:val="Sangría de texto normal Car"/>
    <w:basedOn w:val="Fuentedeprrafopredeter"/>
    <w:link w:val="Sangradetextonormal"/>
    <w:rsid w:val="00B5500D"/>
    <w:rPr>
      <w:rFonts w:ascii="Univers" w:eastAsia="Times New Roman" w:hAnsi="Univers" w:cs="Times New Roman"/>
      <w:sz w:val="20"/>
      <w:szCs w:val="20"/>
      <w:lang w:val="es-CO" w:eastAsia="es-ES"/>
    </w:rPr>
  </w:style>
  <w:style w:type="paragraph" w:styleId="Textocomentario">
    <w:name w:val="annotation text"/>
    <w:basedOn w:val="Normal"/>
    <w:link w:val="TextocomentarioCar"/>
    <w:semiHidden/>
    <w:rsid w:val="00B550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B5500D"/>
    <w:rPr>
      <w:rFonts w:ascii="Times New Roman" w:eastAsia="Times New Roman" w:hAnsi="Times New Roman" w:cs="Times New Roman"/>
      <w:sz w:val="20"/>
      <w:szCs w:val="20"/>
      <w:lang w:val="es-ES" w:eastAsia="es-ES"/>
    </w:rPr>
  </w:style>
  <w:style w:type="paragraph" w:customStyle="1" w:styleId="Lneadereferencia">
    <w:name w:val="Línea de referencia"/>
    <w:basedOn w:val="Sangradetextonormal"/>
    <w:rsid w:val="00B5500D"/>
    <w:pPr>
      <w:widowControl/>
      <w:ind w:left="0"/>
    </w:pPr>
    <w:rPr>
      <w:rFonts w:ascii="Garamond" w:hAnsi="Garamond"/>
      <w:sz w:val="24"/>
      <w:lang w:val="es-ES_tradnl"/>
    </w:rPr>
  </w:style>
  <w:style w:type="paragraph" w:styleId="Prrafodelista">
    <w:name w:val="List Paragraph"/>
    <w:basedOn w:val="Normal"/>
    <w:qFormat/>
    <w:rsid w:val="0046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1DFB-0D83-437E-971D-5186E11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1307</Words>
  <Characters>7189</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cp:lastPrinted>2018-12-06T19:28:00Z</cp:lastPrinted>
  <dcterms:created xsi:type="dcterms:W3CDTF">2022-01-02T02:43:00Z</dcterms:created>
  <dcterms:modified xsi:type="dcterms:W3CDTF">2022-01-02T02:43:00Z</dcterms:modified>
</cp:coreProperties>
</file>