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15F1" w14:textId="77777777" w:rsidR="001E5BBC" w:rsidRPr="005C0919" w:rsidRDefault="001E5BBC" w:rsidP="002D07EC">
      <w:pPr>
        <w:pStyle w:val="Ttulo4"/>
        <w:rPr>
          <w:rFonts w:ascii="Verdana" w:hAnsi="Verdana"/>
          <w:b w:val="0"/>
          <w:smallCaps w:val="0"/>
          <w:sz w:val="20"/>
          <w:u w:val="single"/>
        </w:rPr>
      </w:pPr>
      <w:r w:rsidRPr="005C0919">
        <w:rPr>
          <w:rFonts w:ascii="Verdana" w:hAnsi="Verdana"/>
          <w:smallCaps w:val="0"/>
          <w:sz w:val="20"/>
          <w:u w:val="single"/>
        </w:rPr>
        <w:t xml:space="preserve">Caso Masacre Plan de Sánchez </w:t>
      </w:r>
      <w:r w:rsidRPr="005C0919">
        <w:rPr>
          <w:rFonts w:ascii="Verdana" w:hAnsi="Verdana"/>
          <w:i/>
          <w:smallCaps w:val="0"/>
          <w:sz w:val="20"/>
          <w:u w:val="single"/>
        </w:rPr>
        <w:t>Vs</w:t>
      </w:r>
      <w:r w:rsidRPr="005C0919">
        <w:rPr>
          <w:rFonts w:ascii="Verdana" w:hAnsi="Verdana"/>
          <w:b w:val="0"/>
          <w:i/>
          <w:smallCaps w:val="0"/>
          <w:sz w:val="20"/>
          <w:u w:val="single"/>
        </w:rPr>
        <w:t>.</w:t>
      </w:r>
      <w:r w:rsidRPr="005C0919">
        <w:rPr>
          <w:rFonts w:ascii="Verdana" w:hAnsi="Verdana"/>
          <w:i/>
          <w:smallCaps w:val="0"/>
          <w:sz w:val="20"/>
          <w:u w:val="single"/>
        </w:rPr>
        <w:t xml:space="preserve"> </w:t>
      </w:r>
      <w:r w:rsidRPr="005C0919">
        <w:rPr>
          <w:rFonts w:ascii="Verdana" w:hAnsi="Verdana"/>
          <w:smallCaps w:val="0"/>
          <w:sz w:val="20"/>
          <w:u w:val="single"/>
        </w:rPr>
        <w:t>Guatemala: reparaciones pendientes de cumplimiento</w:t>
      </w:r>
    </w:p>
    <w:p w14:paraId="01327A93" w14:textId="77777777" w:rsidR="0045425A" w:rsidRPr="005C0919" w:rsidRDefault="0045425A" w:rsidP="002D07EC">
      <w:pPr>
        <w:pStyle w:val="Sangradetextonormal"/>
        <w:ind w:left="0"/>
        <w:rPr>
          <w:rFonts w:ascii="Verdana" w:eastAsiaTheme="minorHAnsi" w:hAnsi="Verdana" w:cstheme="minorBidi"/>
          <w:lang w:val="es-CR" w:eastAsia="en-US"/>
        </w:rPr>
      </w:pPr>
    </w:p>
    <w:p w14:paraId="0894F97A" w14:textId="77777777" w:rsidR="008653EF" w:rsidRPr="005C0919" w:rsidRDefault="008653EF" w:rsidP="00EF47C7">
      <w:pPr>
        <w:pStyle w:val="Textoindependiente2"/>
        <w:spacing w:after="0" w:line="240" w:lineRule="auto"/>
        <w:jc w:val="both"/>
        <w:rPr>
          <w:rFonts w:ascii="Verdana" w:hAnsi="Verdana" w:cs="Verdana"/>
          <w:sz w:val="20"/>
          <w:szCs w:val="20"/>
        </w:rPr>
      </w:pPr>
    </w:p>
    <w:p w14:paraId="5D23864D" w14:textId="77777777" w:rsidR="00722C26" w:rsidRPr="005C0919" w:rsidRDefault="004A0358" w:rsidP="008653EF">
      <w:pPr>
        <w:pStyle w:val="Textoindependiente2"/>
        <w:numPr>
          <w:ilvl w:val="0"/>
          <w:numId w:val="3"/>
        </w:numPr>
        <w:spacing w:after="0" w:line="240" w:lineRule="auto"/>
        <w:jc w:val="both"/>
        <w:rPr>
          <w:rFonts w:ascii="Verdana" w:hAnsi="Verdana" w:cs="Times New Roman"/>
          <w:sz w:val="20"/>
          <w:szCs w:val="20"/>
        </w:rPr>
      </w:pPr>
      <w:r w:rsidRPr="005C0919">
        <w:rPr>
          <w:rFonts w:ascii="Verdana" w:hAnsi="Verdana" w:cs="Verdana"/>
          <w:sz w:val="20"/>
          <w:szCs w:val="20"/>
        </w:rPr>
        <w:t xml:space="preserve">Brindar gratuitamente, a través de sus instituciones de salud especializadas, el tratamiento médico que requieran las víctimas incluyendo, </w:t>
      </w:r>
      <w:r w:rsidRPr="005C0919">
        <w:rPr>
          <w:rFonts w:ascii="Verdana" w:hAnsi="Verdana" w:cs="Verdana"/>
          <w:b/>
          <w:bCs/>
          <w:i/>
          <w:iCs/>
          <w:sz w:val="20"/>
          <w:szCs w:val="20"/>
        </w:rPr>
        <w:t xml:space="preserve">inter </w:t>
      </w:r>
      <w:proofErr w:type="spellStart"/>
      <w:r w:rsidRPr="005C0919">
        <w:rPr>
          <w:rFonts w:ascii="Verdana" w:hAnsi="Verdana" w:cs="Verdana"/>
          <w:b/>
          <w:bCs/>
          <w:i/>
          <w:iCs/>
          <w:sz w:val="20"/>
          <w:szCs w:val="20"/>
        </w:rPr>
        <w:t>alia</w:t>
      </w:r>
      <w:proofErr w:type="spellEnd"/>
      <w:r w:rsidRPr="005C0919">
        <w:rPr>
          <w:rFonts w:ascii="Verdana" w:hAnsi="Verdana" w:cs="Verdana"/>
          <w:sz w:val="20"/>
          <w:szCs w:val="20"/>
        </w:rPr>
        <w:t>, los medicamentos que puedan ser necesarios. Asimismo, el Estado debe crear un programa especializado de tratamiento psicológico y psiquiátrico, el cual también debe ser brindado en forma gratuita</w:t>
      </w:r>
      <w:r w:rsidR="00232D6F" w:rsidRPr="005C0919">
        <w:rPr>
          <w:rFonts w:ascii="Verdana" w:hAnsi="Verdana" w:cs="Verdana"/>
          <w:sz w:val="20"/>
          <w:szCs w:val="20"/>
        </w:rPr>
        <w:t>,</w:t>
      </w:r>
      <w:r w:rsidR="00232D6F" w:rsidRPr="005C0919">
        <w:rPr>
          <w:rFonts w:ascii="Verdana" w:hAnsi="Verdana"/>
          <w:sz w:val="20"/>
          <w:szCs w:val="20"/>
        </w:rPr>
        <w:t xml:space="preserve"> en los términos de los párrafos 106 a 108 y 117 de la presente Sentencia.</w:t>
      </w:r>
    </w:p>
    <w:p w14:paraId="795BE710" w14:textId="77777777" w:rsidR="00722C26" w:rsidRPr="005C0919" w:rsidRDefault="00722C26" w:rsidP="00722C26">
      <w:pPr>
        <w:pStyle w:val="Textoindependiente2"/>
        <w:spacing w:after="0" w:line="240" w:lineRule="auto"/>
        <w:ind w:left="360"/>
        <w:jc w:val="both"/>
        <w:rPr>
          <w:rFonts w:ascii="Verdana" w:hAnsi="Verdana" w:cs="Times New Roman"/>
          <w:sz w:val="20"/>
          <w:szCs w:val="20"/>
        </w:rPr>
      </w:pPr>
    </w:p>
    <w:p w14:paraId="1B4530CC" w14:textId="77777777" w:rsidR="00E734E4" w:rsidRPr="005C0919" w:rsidRDefault="00E734E4" w:rsidP="00E734E4">
      <w:pPr>
        <w:pStyle w:val="Textoindependiente2"/>
        <w:numPr>
          <w:ilvl w:val="0"/>
          <w:numId w:val="3"/>
        </w:numPr>
        <w:spacing w:after="0" w:line="240" w:lineRule="auto"/>
        <w:jc w:val="both"/>
        <w:rPr>
          <w:rFonts w:ascii="Verdana" w:hAnsi="Verdana" w:cs="Times New Roman"/>
          <w:sz w:val="20"/>
          <w:szCs w:val="20"/>
        </w:rPr>
      </w:pPr>
      <w:r w:rsidRPr="005C0919">
        <w:rPr>
          <w:rFonts w:ascii="Verdana" w:hAnsi="Verdana"/>
          <w:sz w:val="20"/>
          <w:szCs w:val="20"/>
        </w:rPr>
        <w:t>Proveer de vivienda adecuada a aquellas víctimas sobrevivientes que residan en la aldea de Plan de Sánchez y que así lo requieran, en los términos de los párrafos 105 y 117 de la presente Sentencia.</w:t>
      </w:r>
    </w:p>
    <w:p w14:paraId="07335F12" w14:textId="77777777" w:rsidR="00232D6F" w:rsidRPr="005C0919" w:rsidRDefault="00232D6F" w:rsidP="00232D6F">
      <w:pPr>
        <w:pStyle w:val="Textoindependiente2"/>
        <w:spacing w:after="0" w:line="240" w:lineRule="auto"/>
        <w:jc w:val="both"/>
        <w:rPr>
          <w:rFonts w:ascii="Verdana" w:hAnsi="Verdana" w:cs="Times New Roman"/>
          <w:sz w:val="20"/>
          <w:szCs w:val="20"/>
        </w:rPr>
      </w:pPr>
    </w:p>
    <w:p w14:paraId="47A17E61" w14:textId="06D4D93F" w:rsidR="00232D6F" w:rsidRPr="005C0919" w:rsidRDefault="00232D6F" w:rsidP="007D7E4A">
      <w:pPr>
        <w:pStyle w:val="Textoindependiente2"/>
        <w:numPr>
          <w:ilvl w:val="0"/>
          <w:numId w:val="3"/>
        </w:numPr>
        <w:spacing w:after="0" w:line="240" w:lineRule="auto"/>
        <w:jc w:val="both"/>
        <w:rPr>
          <w:rFonts w:ascii="Verdana" w:hAnsi="Verdana"/>
          <w:sz w:val="20"/>
          <w:szCs w:val="20"/>
        </w:rPr>
      </w:pPr>
      <w:r w:rsidRPr="005C0919">
        <w:rPr>
          <w:rFonts w:ascii="Verdana" w:hAnsi="Verdana"/>
          <w:sz w:val="20"/>
          <w:szCs w:val="20"/>
        </w:rPr>
        <w:t>D</w:t>
      </w:r>
      <w:r w:rsidRPr="005C0919">
        <w:rPr>
          <w:rFonts w:ascii="Verdana" w:hAnsi="Verdana"/>
          <w:sz w:val="20"/>
          <w:szCs w:val="20"/>
        </w:rPr>
        <w:t xml:space="preserve">esarrollar en las comunidades de Plan de Sánchez, </w:t>
      </w:r>
      <w:proofErr w:type="spellStart"/>
      <w:r w:rsidRPr="005C0919">
        <w:rPr>
          <w:rFonts w:ascii="Verdana" w:hAnsi="Verdana"/>
          <w:sz w:val="20"/>
          <w:szCs w:val="20"/>
        </w:rPr>
        <w:t>Chipuerta</w:t>
      </w:r>
      <w:proofErr w:type="spellEnd"/>
      <w:r w:rsidRPr="005C0919">
        <w:rPr>
          <w:rFonts w:ascii="Verdana" w:hAnsi="Verdana"/>
          <w:sz w:val="20"/>
          <w:szCs w:val="20"/>
        </w:rPr>
        <w:t xml:space="preserve">, Joya de Ramos, </w:t>
      </w:r>
      <w:proofErr w:type="spellStart"/>
      <w:r w:rsidRPr="005C0919">
        <w:rPr>
          <w:rFonts w:ascii="Verdana" w:hAnsi="Verdana"/>
          <w:sz w:val="20"/>
          <w:szCs w:val="20"/>
        </w:rPr>
        <w:t>Raxjut</w:t>
      </w:r>
      <w:proofErr w:type="spellEnd"/>
      <w:r w:rsidRPr="005C0919">
        <w:rPr>
          <w:rFonts w:ascii="Verdana" w:hAnsi="Verdana"/>
          <w:sz w:val="20"/>
          <w:szCs w:val="20"/>
        </w:rPr>
        <w:t xml:space="preserve">, </w:t>
      </w:r>
      <w:proofErr w:type="spellStart"/>
      <w:r w:rsidRPr="005C0919">
        <w:rPr>
          <w:rFonts w:ascii="Verdana" w:hAnsi="Verdana"/>
          <w:sz w:val="20"/>
          <w:szCs w:val="20"/>
        </w:rPr>
        <w:t>Volcanillo</w:t>
      </w:r>
      <w:proofErr w:type="spellEnd"/>
      <w:r w:rsidRPr="005C0919">
        <w:rPr>
          <w:rFonts w:ascii="Verdana" w:hAnsi="Verdana"/>
          <w:sz w:val="20"/>
          <w:szCs w:val="20"/>
        </w:rPr>
        <w:t xml:space="preserve">, </w:t>
      </w:r>
      <w:proofErr w:type="spellStart"/>
      <w:r w:rsidRPr="005C0919">
        <w:rPr>
          <w:rFonts w:ascii="Verdana" w:hAnsi="Verdana"/>
          <w:sz w:val="20"/>
          <w:szCs w:val="20"/>
        </w:rPr>
        <w:t>Coxojabaj</w:t>
      </w:r>
      <w:proofErr w:type="spellEnd"/>
      <w:r w:rsidRPr="005C0919">
        <w:rPr>
          <w:rFonts w:ascii="Verdana" w:hAnsi="Verdana"/>
          <w:sz w:val="20"/>
          <w:szCs w:val="20"/>
        </w:rPr>
        <w:t xml:space="preserve">, Las Tunas, Las Minas, Las Ventanas, Ixchel, </w:t>
      </w:r>
      <w:proofErr w:type="spellStart"/>
      <w:r w:rsidRPr="005C0919">
        <w:rPr>
          <w:rFonts w:ascii="Verdana" w:hAnsi="Verdana"/>
          <w:sz w:val="20"/>
          <w:szCs w:val="20"/>
        </w:rPr>
        <w:t>Chiac</w:t>
      </w:r>
      <w:proofErr w:type="spellEnd"/>
      <w:r w:rsidRPr="005C0919">
        <w:rPr>
          <w:rFonts w:ascii="Verdana" w:hAnsi="Verdana"/>
          <w:sz w:val="20"/>
          <w:szCs w:val="20"/>
        </w:rPr>
        <w:t xml:space="preserve">, </w:t>
      </w:r>
      <w:proofErr w:type="spellStart"/>
      <w:r w:rsidRPr="005C0919">
        <w:rPr>
          <w:rFonts w:ascii="Verdana" w:hAnsi="Verdana"/>
          <w:sz w:val="20"/>
          <w:szCs w:val="20"/>
        </w:rPr>
        <w:t>Concul</w:t>
      </w:r>
      <w:proofErr w:type="spellEnd"/>
      <w:r w:rsidRPr="005C0919">
        <w:rPr>
          <w:rFonts w:ascii="Verdana" w:hAnsi="Verdana"/>
          <w:sz w:val="20"/>
          <w:szCs w:val="20"/>
        </w:rPr>
        <w:t xml:space="preserve"> y </w:t>
      </w:r>
      <w:proofErr w:type="spellStart"/>
      <w:r w:rsidRPr="005C0919">
        <w:rPr>
          <w:rFonts w:ascii="Verdana" w:hAnsi="Verdana"/>
          <w:sz w:val="20"/>
          <w:szCs w:val="20"/>
        </w:rPr>
        <w:t>Chichupac</w:t>
      </w:r>
      <w:proofErr w:type="spellEnd"/>
      <w:r w:rsidRPr="005C0919">
        <w:rPr>
          <w:rFonts w:ascii="Verdana" w:hAnsi="Verdana"/>
          <w:sz w:val="20"/>
          <w:szCs w:val="20"/>
        </w:rPr>
        <w:t xml:space="preserve"> los siguientes programas:</w:t>
      </w:r>
      <w:r w:rsidRPr="005C0919">
        <w:rPr>
          <w:rFonts w:ascii="Verdana" w:hAnsi="Verdana"/>
          <w:sz w:val="20"/>
          <w:szCs w:val="20"/>
        </w:rPr>
        <w:t xml:space="preserve"> </w:t>
      </w:r>
      <w:r w:rsidRPr="005C0919">
        <w:rPr>
          <w:rFonts w:ascii="Verdana" w:hAnsi="Verdana"/>
          <w:sz w:val="20"/>
          <w:szCs w:val="20"/>
        </w:rPr>
        <w:t>c) sistema de alcantarillado y suministro de agua potable</w:t>
      </w:r>
    </w:p>
    <w:p w14:paraId="4B89AD41" w14:textId="77777777" w:rsidR="00EF47C7" w:rsidRPr="005C0919" w:rsidRDefault="00EF47C7" w:rsidP="00EF47C7">
      <w:pPr>
        <w:pStyle w:val="Textoindependiente2"/>
        <w:spacing w:after="0" w:line="240" w:lineRule="auto"/>
        <w:jc w:val="both"/>
        <w:rPr>
          <w:rFonts w:ascii="Verdana" w:hAnsi="Verdana"/>
          <w:sz w:val="20"/>
          <w:szCs w:val="20"/>
        </w:rPr>
      </w:pPr>
    </w:p>
    <w:p w14:paraId="7BC86A3B" w14:textId="77777777" w:rsidR="00EF47C7" w:rsidRPr="005C0919" w:rsidRDefault="00EF47C7" w:rsidP="00EF47C7">
      <w:pPr>
        <w:pStyle w:val="Textoindependiente2"/>
        <w:spacing w:after="0" w:line="240" w:lineRule="auto"/>
        <w:jc w:val="both"/>
        <w:rPr>
          <w:rFonts w:ascii="Verdana" w:hAnsi="Verdana"/>
          <w:sz w:val="20"/>
          <w:szCs w:val="20"/>
        </w:rPr>
      </w:pPr>
    </w:p>
    <w:p w14:paraId="52A04E8C" w14:textId="77777777" w:rsidR="0045425A" w:rsidRPr="005C0919" w:rsidRDefault="0045425A" w:rsidP="002D07EC">
      <w:pPr>
        <w:spacing w:after="0" w:line="240" w:lineRule="auto"/>
        <w:rPr>
          <w:rFonts w:ascii="Verdana" w:hAnsi="Verdana"/>
          <w:b/>
          <w:sz w:val="20"/>
          <w:szCs w:val="20"/>
          <w:lang w:val="es-ES_tradnl"/>
        </w:rPr>
      </w:pPr>
      <w:r w:rsidRPr="005C0919">
        <w:rPr>
          <w:rFonts w:ascii="Verdana" w:hAnsi="Verdana"/>
          <w:b/>
          <w:sz w:val="20"/>
          <w:szCs w:val="20"/>
          <w:lang w:val="es-ES_tradnl"/>
        </w:rPr>
        <w:t>Cumplimiento parcial:</w:t>
      </w:r>
    </w:p>
    <w:p w14:paraId="6AF22719" w14:textId="77777777" w:rsidR="002D07EC" w:rsidRPr="005C0919" w:rsidRDefault="002D07EC" w:rsidP="002D07EC">
      <w:pPr>
        <w:spacing w:after="0" w:line="240" w:lineRule="auto"/>
        <w:rPr>
          <w:rFonts w:ascii="Verdana" w:hAnsi="Verdana"/>
          <w:b/>
          <w:sz w:val="20"/>
          <w:szCs w:val="20"/>
          <w:lang w:val="es-ES_tradnl"/>
        </w:rPr>
      </w:pPr>
    </w:p>
    <w:p w14:paraId="66D2ECE8" w14:textId="7E62BB05" w:rsidR="008653EF" w:rsidRPr="005C0919" w:rsidRDefault="00930E2E" w:rsidP="008653EF">
      <w:pPr>
        <w:pStyle w:val="Textoindependiente2"/>
        <w:numPr>
          <w:ilvl w:val="0"/>
          <w:numId w:val="3"/>
        </w:numPr>
        <w:spacing w:after="0" w:line="240" w:lineRule="auto"/>
        <w:jc w:val="both"/>
        <w:rPr>
          <w:rFonts w:ascii="Verdana" w:hAnsi="Verdana"/>
          <w:sz w:val="20"/>
          <w:szCs w:val="20"/>
          <w:lang w:val="es-MX"/>
        </w:rPr>
      </w:pPr>
      <w:bookmarkStart w:id="0" w:name="_Hlk91961411"/>
      <w:r w:rsidRPr="005C0919">
        <w:rPr>
          <w:rFonts w:ascii="Verdana" w:hAnsi="Verdana"/>
          <w:sz w:val="20"/>
          <w:szCs w:val="20"/>
        </w:rPr>
        <w:t>I</w:t>
      </w:r>
      <w:r w:rsidRPr="005C0919">
        <w:rPr>
          <w:rFonts w:ascii="Verdana" w:hAnsi="Verdana"/>
          <w:sz w:val="20"/>
          <w:szCs w:val="20"/>
        </w:rPr>
        <w:t xml:space="preserve">nvestigar efectivamente los hechos de la Masacre Plan de Sánchez con el fin de identificar, juzgar y sancionar a sus autores materiales e intelectuales, en los términos de los párrafos 94 a 99 de la presente Sentencia. </w:t>
      </w:r>
    </w:p>
    <w:bookmarkEnd w:id="0"/>
    <w:p w14:paraId="44D75FD1" w14:textId="77777777" w:rsidR="008653EF" w:rsidRDefault="008653EF" w:rsidP="008653EF">
      <w:pPr>
        <w:pStyle w:val="Textoindependiente2"/>
        <w:spacing w:after="0" w:line="240" w:lineRule="auto"/>
        <w:ind w:left="360"/>
        <w:jc w:val="both"/>
        <w:rPr>
          <w:rFonts w:ascii="Verdana" w:hAnsi="Verdana"/>
          <w:sz w:val="20"/>
          <w:szCs w:val="20"/>
          <w:lang w:val="es-MX"/>
        </w:rPr>
      </w:pPr>
    </w:p>
    <w:p w14:paraId="15839F1C" w14:textId="77777777" w:rsidR="008653EF" w:rsidRDefault="008653EF" w:rsidP="008653EF">
      <w:pPr>
        <w:pStyle w:val="Textoindependiente2"/>
        <w:spacing w:after="0" w:line="240" w:lineRule="auto"/>
        <w:jc w:val="both"/>
        <w:rPr>
          <w:rFonts w:ascii="Verdana" w:hAnsi="Verdana"/>
          <w:sz w:val="20"/>
          <w:szCs w:val="20"/>
          <w:lang w:val="es-MX"/>
        </w:rPr>
      </w:pPr>
      <w:r>
        <w:rPr>
          <w:rFonts w:ascii="Verdana" w:hAnsi="Verdana"/>
          <w:sz w:val="20"/>
          <w:szCs w:val="20"/>
          <w:lang w:val="es-MX"/>
        </w:rPr>
        <w:t xml:space="preserve">En los considerandos 12 y 13 </w:t>
      </w:r>
      <w:r w:rsidRPr="008653EF">
        <w:rPr>
          <w:rFonts w:ascii="Verdana" w:hAnsi="Verdana"/>
          <w:sz w:val="20"/>
          <w:szCs w:val="20"/>
          <w:lang w:val="es-MX"/>
        </w:rPr>
        <w:t>de la resolución de 30 de abril de 2021, se explica lo que continúa pendiente de cumplimiento respecto a la presente medida de reparación:</w:t>
      </w:r>
    </w:p>
    <w:p w14:paraId="757BA1E7" w14:textId="77777777" w:rsidR="008653EF" w:rsidRPr="008653EF" w:rsidRDefault="008653EF" w:rsidP="008653EF">
      <w:pPr>
        <w:pStyle w:val="Textoindependiente2"/>
        <w:spacing w:after="0" w:line="240" w:lineRule="auto"/>
        <w:ind w:left="720"/>
        <w:jc w:val="both"/>
        <w:rPr>
          <w:rFonts w:ascii="Verdana" w:hAnsi="Verdana"/>
          <w:sz w:val="18"/>
          <w:szCs w:val="20"/>
          <w:lang w:val="es-MX"/>
        </w:rPr>
      </w:pPr>
    </w:p>
    <w:p w14:paraId="22FF059E" w14:textId="77777777" w:rsidR="008653EF" w:rsidRPr="008653EF" w:rsidRDefault="008653EF" w:rsidP="00447468">
      <w:pPr>
        <w:pStyle w:val="Textoindependiente2"/>
        <w:spacing w:after="0" w:line="240" w:lineRule="auto"/>
        <w:ind w:left="720"/>
        <w:jc w:val="both"/>
        <w:rPr>
          <w:rFonts w:ascii="Verdana" w:hAnsi="Verdana"/>
          <w:sz w:val="18"/>
          <w:szCs w:val="18"/>
          <w:lang w:val="es-MX"/>
        </w:rPr>
      </w:pPr>
      <w:r w:rsidRPr="008653EF">
        <w:rPr>
          <w:rFonts w:ascii="Verdana" w:hAnsi="Verdana"/>
          <w:sz w:val="18"/>
          <w:szCs w:val="18"/>
          <w:lang w:val="es-MX"/>
        </w:rPr>
        <w:t>12. En definitiva, debido a que en el año 2012 se det</w:t>
      </w:r>
      <w:r w:rsidR="00DA4C6C">
        <w:rPr>
          <w:rFonts w:ascii="Verdana" w:hAnsi="Verdana"/>
          <w:sz w:val="18"/>
          <w:szCs w:val="18"/>
          <w:lang w:val="es-MX"/>
        </w:rPr>
        <w:t xml:space="preserve">erminó la responsabilidad penal </w:t>
      </w:r>
      <w:r w:rsidRPr="008653EF">
        <w:rPr>
          <w:rFonts w:ascii="Verdana" w:hAnsi="Verdana"/>
          <w:sz w:val="18"/>
          <w:szCs w:val="18"/>
          <w:lang w:val="es-MX"/>
        </w:rPr>
        <w:t>cinco personas que fueron condenadas por el Tribu</w:t>
      </w:r>
      <w:r w:rsidR="00447468">
        <w:rPr>
          <w:rFonts w:ascii="Verdana" w:hAnsi="Verdana"/>
          <w:sz w:val="18"/>
          <w:szCs w:val="18"/>
          <w:lang w:val="es-MX"/>
        </w:rPr>
        <w:t xml:space="preserve">nal Primero de Sentencia Penal, </w:t>
      </w:r>
      <w:r w:rsidRPr="008653EF">
        <w:rPr>
          <w:rFonts w:ascii="Verdana" w:hAnsi="Verdana"/>
          <w:sz w:val="18"/>
          <w:szCs w:val="18"/>
          <w:lang w:val="es-MX"/>
        </w:rPr>
        <w:t>Narcoactividad y Delitos Contra el Ambiente, de Mayor Ri</w:t>
      </w:r>
      <w:r w:rsidR="00447468">
        <w:rPr>
          <w:rFonts w:ascii="Verdana" w:hAnsi="Verdana"/>
          <w:sz w:val="18"/>
          <w:szCs w:val="18"/>
          <w:lang w:val="es-MX"/>
        </w:rPr>
        <w:t xml:space="preserve">esgo Grupo “A”, por los delitos </w:t>
      </w:r>
      <w:r w:rsidRPr="008653EF">
        <w:rPr>
          <w:rFonts w:ascii="Verdana" w:hAnsi="Verdana"/>
          <w:sz w:val="18"/>
          <w:szCs w:val="18"/>
          <w:lang w:val="es-MX"/>
        </w:rPr>
        <w:t>de asesinato y delitos contra los deberes</w:t>
      </w:r>
      <w:r w:rsidR="00447468">
        <w:rPr>
          <w:rFonts w:ascii="Verdana" w:hAnsi="Verdana"/>
          <w:sz w:val="18"/>
          <w:szCs w:val="18"/>
          <w:lang w:val="es-MX"/>
        </w:rPr>
        <w:t xml:space="preserve"> de la humanidad por los hechos </w:t>
      </w:r>
      <w:r w:rsidRPr="008653EF">
        <w:rPr>
          <w:rFonts w:ascii="Verdana" w:hAnsi="Verdana"/>
          <w:sz w:val="18"/>
          <w:szCs w:val="18"/>
          <w:lang w:val="es-MX"/>
        </w:rPr>
        <w:t>correspondientes a la Masacre de Plan de Sánchez, la Co</w:t>
      </w:r>
      <w:r w:rsidR="00447468">
        <w:rPr>
          <w:rFonts w:ascii="Verdana" w:hAnsi="Verdana"/>
          <w:sz w:val="18"/>
          <w:szCs w:val="18"/>
          <w:lang w:val="es-MX"/>
        </w:rPr>
        <w:t xml:space="preserve">rte considera que el Estado dio </w:t>
      </w:r>
      <w:r w:rsidRPr="008653EF">
        <w:rPr>
          <w:rFonts w:ascii="Verdana" w:hAnsi="Verdana"/>
          <w:sz w:val="18"/>
          <w:szCs w:val="18"/>
          <w:lang w:val="es-MX"/>
        </w:rPr>
        <w:t>cumplimiento parcial a la medida dispuesta en el</w:t>
      </w:r>
      <w:r w:rsidR="00447468">
        <w:rPr>
          <w:rFonts w:ascii="Verdana" w:hAnsi="Verdana"/>
          <w:sz w:val="18"/>
          <w:szCs w:val="18"/>
          <w:lang w:val="es-MX"/>
        </w:rPr>
        <w:t xml:space="preserve"> punto resolutivo primero de la </w:t>
      </w:r>
      <w:r w:rsidRPr="008653EF">
        <w:rPr>
          <w:rFonts w:ascii="Verdana" w:hAnsi="Verdana"/>
          <w:sz w:val="18"/>
          <w:szCs w:val="18"/>
          <w:lang w:val="es-MX"/>
        </w:rPr>
        <w:t>Sentencia. Ello constituyó un importante avance r</w:t>
      </w:r>
      <w:r w:rsidR="00447468">
        <w:rPr>
          <w:rFonts w:ascii="Verdana" w:hAnsi="Verdana"/>
          <w:sz w:val="18"/>
          <w:szCs w:val="18"/>
          <w:lang w:val="es-MX"/>
        </w:rPr>
        <w:t xml:space="preserve">especto a la situación de total </w:t>
      </w:r>
      <w:r w:rsidRPr="008653EF">
        <w:rPr>
          <w:rFonts w:ascii="Verdana" w:hAnsi="Verdana"/>
          <w:sz w:val="18"/>
          <w:szCs w:val="18"/>
          <w:lang w:val="es-MX"/>
        </w:rPr>
        <w:t>impunidad constatada en la Sentencia dictada por la Corte hace más de dieciséis años.</w:t>
      </w:r>
    </w:p>
    <w:p w14:paraId="2C874B0D" w14:textId="77777777" w:rsidR="008653EF" w:rsidRPr="008653EF" w:rsidRDefault="008653EF" w:rsidP="008653EF">
      <w:pPr>
        <w:pStyle w:val="Textoindependiente2"/>
        <w:spacing w:after="0" w:line="240" w:lineRule="auto"/>
        <w:ind w:left="720"/>
        <w:jc w:val="both"/>
        <w:rPr>
          <w:rFonts w:ascii="Verdana" w:hAnsi="Verdana"/>
          <w:sz w:val="18"/>
          <w:szCs w:val="18"/>
          <w:lang w:val="es-MX"/>
        </w:rPr>
      </w:pPr>
    </w:p>
    <w:p w14:paraId="5D570498" w14:textId="77777777" w:rsidR="00447468" w:rsidRPr="00232D6F" w:rsidRDefault="008653EF" w:rsidP="00447468">
      <w:pPr>
        <w:pStyle w:val="Textoindependiente2"/>
        <w:spacing w:after="0" w:line="240" w:lineRule="auto"/>
        <w:ind w:left="720"/>
        <w:jc w:val="both"/>
        <w:rPr>
          <w:rFonts w:ascii="Verdana" w:hAnsi="Verdana"/>
          <w:sz w:val="18"/>
          <w:szCs w:val="18"/>
        </w:rPr>
      </w:pPr>
      <w:r w:rsidRPr="008653EF">
        <w:rPr>
          <w:rFonts w:ascii="Verdana" w:hAnsi="Verdana"/>
          <w:sz w:val="18"/>
          <w:szCs w:val="18"/>
        </w:rPr>
        <w:t>13.  A fin de continuar valorando los avances en el cumplimiento de la obligación de investigar, identificar, juzgar y, eventualmente, sancionar a los responsables de los hechos, ordenada en el punto resolutivo primero de la Sentencia, este Tribunal requiere al Estado que remita información detallada, completa y actualizada, junto con el respaldo documental correspondiente, que tome en cuenta lo indicado en los párrafos precedentes, así como que acredite que ninguna decisión judicial afecte el cumplimiento de dicha obligación.</w:t>
      </w:r>
    </w:p>
    <w:p w14:paraId="6E581102" w14:textId="77777777" w:rsidR="008653EF" w:rsidRPr="008653EF" w:rsidRDefault="008653EF" w:rsidP="008653EF">
      <w:pPr>
        <w:pStyle w:val="Textoindependiente2"/>
        <w:spacing w:after="0" w:line="240" w:lineRule="auto"/>
        <w:jc w:val="both"/>
        <w:rPr>
          <w:rFonts w:ascii="Verdana" w:hAnsi="Verdana"/>
          <w:sz w:val="20"/>
          <w:szCs w:val="20"/>
          <w:lang w:val="es-MX"/>
        </w:rPr>
      </w:pPr>
    </w:p>
    <w:p w14:paraId="4391791B" w14:textId="77777777" w:rsidR="0045425A" w:rsidRPr="004A0358" w:rsidRDefault="006B0B84" w:rsidP="004A0358">
      <w:pPr>
        <w:pStyle w:val="Textoindependiente2"/>
        <w:numPr>
          <w:ilvl w:val="0"/>
          <w:numId w:val="3"/>
        </w:numPr>
        <w:spacing w:after="0" w:line="240" w:lineRule="auto"/>
        <w:jc w:val="both"/>
        <w:rPr>
          <w:rFonts w:ascii="Verdana" w:hAnsi="Verdana"/>
          <w:sz w:val="20"/>
          <w:szCs w:val="20"/>
          <w:lang w:val="es-MX"/>
        </w:rPr>
      </w:pPr>
      <w:r>
        <w:rPr>
          <w:rFonts w:ascii="Verdana" w:hAnsi="Verdana"/>
          <w:sz w:val="20"/>
          <w:szCs w:val="20"/>
        </w:rPr>
        <w:t>D</w:t>
      </w:r>
      <w:r w:rsidRPr="006B0B84">
        <w:rPr>
          <w:rFonts w:ascii="Verdana" w:hAnsi="Verdana"/>
          <w:sz w:val="20"/>
          <w:szCs w:val="20"/>
        </w:rPr>
        <w:t xml:space="preserve">esarrollar en las 13 comunidades indicadas en el párrafo 110 de la Sentencia un programa de mantenimiento y mejoras en el sistema de comunicación vial entre las comunidades indicadas y la cabecera municipal de Rabinal, debido a que en ocho de las comunidades se llevaron a cabo trabajos de mantenimiento en la red vial; y queda pendiente el cumplimiento de la medida dado que persisten los problemas de falta de durabilidad de las mejoras por el material que se utiliza, así como la falta de trabajos de </w:t>
      </w:r>
      <w:r w:rsidRPr="006B0B84">
        <w:rPr>
          <w:rFonts w:ascii="Verdana" w:hAnsi="Verdana"/>
          <w:sz w:val="20"/>
          <w:szCs w:val="20"/>
        </w:rPr>
        <w:lastRenderedPageBreak/>
        <w:t>mantenimiento en la red vial en las restantes cinco comunidades (punto resolutivo noveno inciso b) de la Sentencia de Reparaciones).</w:t>
      </w:r>
    </w:p>
    <w:p w14:paraId="3EDFD28E" w14:textId="77777777" w:rsidR="004A0358" w:rsidRPr="004A0358" w:rsidRDefault="004A0358" w:rsidP="004A0358">
      <w:pPr>
        <w:pStyle w:val="Textoindependiente2"/>
        <w:spacing w:after="0" w:line="240" w:lineRule="auto"/>
        <w:ind w:left="360"/>
        <w:jc w:val="both"/>
        <w:rPr>
          <w:rFonts w:ascii="Verdana" w:hAnsi="Verdana"/>
          <w:sz w:val="20"/>
          <w:szCs w:val="20"/>
          <w:lang w:val="es-MX"/>
        </w:rPr>
      </w:pPr>
    </w:p>
    <w:p w14:paraId="2B9D71F2" w14:textId="77777777" w:rsidR="00447468" w:rsidRPr="00447468" w:rsidRDefault="00447468" w:rsidP="00447468">
      <w:pPr>
        <w:pStyle w:val="Textoindependiente2"/>
        <w:spacing w:after="0" w:line="240" w:lineRule="auto"/>
        <w:jc w:val="both"/>
        <w:rPr>
          <w:rFonts w:ascii="Verdana" w:hAnsi="Verdana"/>
          <w:sz w:val="20"/>
          <w:szCs w:val="20"/>
          <w:lang w:val="es-MX"/>
        </w:rPr>
      </w:pPr>
      <w:r>
        <w:rPr>
          <w:rFonts w:ascii="Verdana" w:hAnsi="Verdana"/>
          <w:sz w:val="20"/>
          <w:szCs w:val="20"/>
          <w:lang w:val="es-MX"/>
        </w:rPr>
        <w:t>En los considerandos 40</w:t>
      </w:r>
      <w:r w:rsidR="00EF47C7">
        <w:rPr>
          <w:rFonts w:ascii="Verdana" w:hAnsi="Verdana"/>
          <w:sz w:val="20"/>
          <w:szCs w:val="20"/>
          <w:lang w:val="es-MX"/>
        </w:rPr>
        <w:t xml:space="preserve"> y 41 </w:t>
      </w:r>
      <w:r w:rsidRPr="008653EF">
        <w:rPr>
          <w:rFonts w:ascii="Verdana" w:hAnsi="Verdana"/>
          <w:sz w:val="20"/>
          <w:szCs w:val="20"/>
          <w:lang w:val="es-MX"/>
        </w:rPr>
        <w:t>de la resolución de 30 de abril de 2021, se explica lo que continúa pendiente de cumplimiento respecto a la presente medida de reparación:</w:t>
      </w:r>
    </w:p>
    <w:p w14:paraId="52291B04" w14:textId="77777777" w:rsidR="00447468" w:rsidRPr="00447468" w:rsidRDefault="00447468" w:rsidP="00447468">
      <w:pPr>
        <w:pStyle w:val="Textoindependiente2"/>
        <w:spacing w:after="0" w:line="240" w:lineRule="auto"/>
        <w:ind w:left="720"/>
        <w:jc w:val="both"/>
        <w:rPr>
          <w:rFonts w:ascii="Verdana" w:hAnsi="Verdana"/>
          <w:sz w:val="18"/>
          <w:szCs w:val="18"/>
        </w:rPr>
      </w:pPr>
    </w:p>
    <w:p w14:paraId="0DFE5AF2" w14:textId="77777777" w:rsidR="00447468" w:rsidRPr="00447468" w:rsidRDefault="00447468" w:rsidP="00447468">
      <w:pPr>
        <w:pStyle w:val="Textoindependiente2"/>
        <w:spacing w:after="0" w:line="240" w:lineRule="auto"/>
        <w:ind w:left="720"/>
        <w:jc w:val="both"/>
        <w:rPr>
          <w:rFonts w:ascii="Verdana" w:hAnsi="Verdana"/>
          <w:sz w:val="18"/>
          <w:szCs w:val="18"/>
        </w:rPr>
      </w:pPr>
      <w:r w:rsidRPr="00447468">
        <w:rPr>
          <w:rFonts w:ascii="Verdana" w:hAnsi="Verdana"/>
          <w:sz w:val="18"/>
          <w:szCs w:val="18"/>
        </w:rPr>
        <w:t xml:space="preserve">40. Por todo lo expuesto, la Corte considera que el Estado ha dado un cumplimiento parcial a esta medida de reparación debido a </w:t>
      </w:r>
      <w:proofErr w:type="gramStart"/>
      <w:r w:rsidRPr="00447468">
        <w:rPr>
          <w:rFonts w:ascii="Verdana" w:hAnsi="Verdana"/>
          <w:sz w:val="18"/>
          <w:szCs w:val="18"/>
        </w:rPr>
        <w:t>que</w:t>
      </w:r>
      <w:proofErr w:type="gramEnd"/>
      <w:r w:rsidRPr="00447468">
        <w:rPr>
          <w:rFonts w:ascii="Verdana" w:hAnsi="Verdana"/>
          <w:sz w:val="18"/>
          <w:szCs w:val="18"/>
        </w:rPr>
        <w:t xml:space="preserve"> en ocho de las 13 comunidades beneficiarias de la reparación ordenada, se llevaron a cabo trabajos de mantenimiento en la red vial. Sin embargo, persisten los problemas de falta de durabilidad de las mejoras por el material que se utiliza (supra Considerando 37), lo cual repercute en que la carretera vuelva a ser peligrosa e intransitable con la temporada de lluvias y los consecuentes perjuicios para el adecuado desplazamiento de los pobladores, atención de salud, comercialización de productos, etc. Por otro lado, la Corte concluye que persiste la falta de trabajos de mantenimiento en el sistema de comunicación vial en las restantes cinco comunidades (Las Tunas, Las Minas, Ixchel, </w:t>
      </w:r>
      <w:proofErr w:type="spellStart"/>
      <w:r w:rsidRPr="00447468">
        <w:rPr>
          <w:rFonts w:ascii="Verdana" w:hAnsi="Verdana"/>
          <w:sz w:val="18"/>
          <w:szCs w:val="18"/>
        </w:rPr>
        <w:t>Chiac</w:t>
      </w:r>
      <w:proofErr w:type="spellEnd"/>
      <w:r w:rsidRPr="00447468">
        <w:rPr>
          <w:rFonts w:ascii="Verdana" w:hAnsi="Verdana"/>
          <w:sz w:val="18"/>
          <w:szCs w:val="18"/>
        </w:rPr>
        <w:t xml:space="preserve"> y </w:t>
      </w:r>
      <w:proofErr w:type="spellStart"/>
      <w:r w:rsidRPr="00447468">
        <w:rPr>
          <w:rFonts w:ascii="Verdana" w:hAnsi="Verdana"/>
          <w:sz w:val="18"/>
          <w:szCs w:val="18"/>
        </w:rPr>
        <w:t>Chichupac</w:t>
      </w:r>
      <w:proofErr w:type="spellEnd"/>
      <w:r w:rsidRPr="00447468">
        <w:rPr>
          <w:rFonts w:ascii="Verdana" w:hAnsi="Verdana"/>
          <w:sz w:val="18"/>
          <w:szCs w:val="18"/>
        </w:rPr>
        <w:t xml:space="preserve">), ya que el Estado no presentó información al respecto, y los representantes sostuvieron que no se realizaron. </w:t>
      </w:r>
    </w:p>
    <w:p w14:paraId="71F3BE5E" w14:textId="77777777" w:rsidR="00447468" w:rsidRPr="00447468" w:rsidRDefault="00447468" w:rsidP="00447468">
      <w:pPr>
        <w:pStyle w:val="Textoindependiente2"/>
        <w:spacing w:after="0" w:line="240" w:lineRule="auto"/>
        <w:ind w:left="720"/>
        <w:jc w:val="both"/>
        <w:rPr>
          <w:rFonts w:ascii="Verdana" w:hAnsi="Verdana"/>
          <w:sz w:val="18"/>
          <w:szCs w:val="18"/>
        </w:rPr>
      </w:pPr>
    </w:p>
    <w:p w14:paraId="2EDB0ECA" w14:textId="77777777" w:rsidR="00447468" w:rsidRPr="00447468" w:rsidRDefault="00447468" w:rsidP="00447468">
      <w:pPr>
        <w:pStyle w:val="Textoindependiente2"/>
        <w:spacing w:after="0" w:line="240" w:lineRule="auto"/>
        <w:ind w:left="720"/>
        <w:jc w:val="both"/>
        <w:rPr>
          <w:rFonts w:ascii="Verdana" w:hAnsi="Verdana"/>
          <w:sz w:val="18"/>
          <w:szCs w:val="18"/>
        </w:rPr>
      </w:pPr>
      <w:r w:rsidRPr="00447468">
        <w:rPr>
          <w:rFonts w:ascii="Verdana" w:hAnsi="Verdana"/>
          <w:sz w:val="18"/>
          <w:szCs w:val="18"/>
        </w:rPr>
        <w:t>41. Tomando en cuenta que aún persiste la falta de trabajos de mantenimiento en el sistema de comunicación vial en cinco comunidades, y que en las comunidades en que este se ha realizado, se continúan presentando deficiencias en la durabilidad de los materiales que derivan en que en la época de lluvias los caminos se tornen difíciles de transitar, la Corte considera que se encuentra pendiente de cumplimiento la reparación ordenada en el punto resolutivo noveno, literal b) de la Sentencia, relativa a desarrollar en las comunidades un programa de mantenimiento y mejoras en el sistema de comunicación vial entre las indicadas comunidades y la cabecera municipal de Rabinal.</w:t>
      </w:r>
    </w:p>
    <w:p w14:paraId="24D331ED" w14:textId="77777777" w:rsidR="00447468" w:rsidRPr="001420F8" w:rsidRDefault="00447468">
      <w:pPr>
        <w:rPr>
          <w:lang w:val="es-MX"/>
        </w:rPr>
      </w:pPr>
    </w:p>
    <w:sectPr w:rsidR="00447468" w:rsidRPr="001420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496E4" w14:textId="77777777" w:rsidR="00F46530" w:rsidRDefault="00F46530" w:rsidP="001E5BBC">
      <w:pPr>
        <w:spacing w:after="0" w:line="240" w:lineRule="auto"/>
      </w:pPr>
      <w:r>
        <w:separator/>
      </w:r>
    </w:p>
  </w:endnote>
  <w:endnote w:type="continuationSeparator" w:id="0">
    <w:p w14:paraId="637E6977" w14:textId="77777777" w:rsidR="00F46530" w:rsidRDefault="00F46530" w:rsidP="001E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3DBA" w14:textId="77777777" w:rsidR="001E5BBC" w:rsidRPr="00A950A1" w:rsidRDefault="001E5BBC" w:rsidP="001E5BBC">
    <w:pPr>
      <w:jc w:val="both"/>
      <w:rPr>
        <w:rFonts w:ascii="Verdana" w:hAnsi="Verdana"/>
        <w:bCs/>
        <w:sz w:val="16"/>
        <w:szCs w:val="16"/>
        <w:lang w:val="es-MX"/>
      </w:rPr>
    </w:pPr>
    <w:r w:rsidRPr="00A950A1">
      <w:rPr>
        <w:rFonts w:ascii="Verdana" w:hAnsi="Verdana"/>
        <w:bCs/>
        <w:sz w:val="16"/>
        <w:szCs w:val="16"/>
        <w:lang w:val="es-MX"/>
      </w:rPr>
      <w:t xml:space="preserve">La presente sistematización de información fue </w:t>
    </w:r>
    <w:r>
      <w:rPr>
        <w:rFonts w:ascii="Verdana" w:hAnsi="Verdana"/>
        <w:bCs/>
        <w:sz w:val="16"/>
        <w:szCs w:val="16"/>
        <w:lang w:val="es-MX"/>
      </w:rPr>
      <w:t xml:space="preserve">realizada </w:t>
    </w:r>
    <w:r w:rsidRPr="00A950A1">
      <w:rPr>
        <w:rFonts w:ascii="Verdana" w:hAnsi="Verdana"/>
        <w:bCs/>
        <w:sz w:val="16"/>
        <w:szCs w:val="16"/>
        <w:lang w:val="es-MX"/>
      </w:rPr>
      <w:t>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668D30C" w14:textId="77777777" w:rsidR="001E5BBC" w:rsidRPr="001E5BBC" w:rsidRDefault="001E5BBC" w:rsidP="001E5BBC">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2311" w14:textId="77777777" w:rsidR="00F46530" w:rsidRDefault="00F46530" w:rsidP="001E5BBC">
      <w:pPr>
        <w:spacing w:after="0" w:line="240" w:lineRule="auto"/>
      </w:pPr>
      <w:r>
        <w:separator/>
      </w:r>
    </w:p>
  </w:footnote>
  <w:footnote w:type="continuationSeparator" w:id="0">
    <w:p w14:paraId="08BF04CC" w14:textId="77777777" w:rsidR="00F46530" w:rsidRDefault="00F46530" w:rsidP="001E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20"/>
        <w:szCs w:val="20"/>
      </w:rPr>
      <w:id w:val="-2078191071"/>
      <w:docPartObj>
        <w:docPartGallery w:val="Page Numbers (Top of Page)"/>
        <w:docPartUnique/>
      </w:docPartObj>
    </w:sdtPr>
    <w:sdtEndPr>
      <w:rPr>
        <w:noProof/>
      </w:rPr>
    </w:sdtEndPr>
    <w:sdtContent>
      <w:p w14:paraId="4C450497" w14:textId="77777777" w:rsidR="001E5BBC" w:rsidRPr="001E5BBC" w:rsidRDefault="001E5BBC">
        <w:pPr>
          <w:pStyle w:val="Encabezado"/>
          <w:jc w:val="right"/>
          <w:rPr>
            <w:rFonts w:ascii="Verdana" w:hAnsi="Verdana"/>
            <w:sz w:val="20"/>
            <w:szCs w:val="20"/>
          </w:rPr>
        </w:pPr>
        <w:r w:rsidRPr="001E5BBC">
          <w:rPr>
            <w:rFonts w:ascii="Verdana" w:hAnsi="Verdana"/>
            <w:sz w:val="20"/>
            <w:szCs w:val="20"/>
          </w:rPr>
          <w:fldChar w:fldCharType="begin"/>
        </w:r>
        <w:r w:rsidRPr="001E5BBC">
          <w:rPr>
            <w:rFonts w:ascii="Verdana" w:hAnsi="Verdana"/>
            <w:sz w:val="20"/>
            <w:szCs w:val="20"/>
          </w:rPr>
          <w:instrText xml:space="preserve"> PAGE   \* MERGEFORMAT </w:instrText>
        </w:r>
        <w:r w:rsidRPr="001E5BBC">
          <w:rPr>
            <w:rFonts w:ascii="Verdana" w:hAnsi="Verdana"/>
            <w:sz w:val="20"/>
            <w:szCs w:val="20"/>
          </w:rPr>
          <w:fldChar w:fldCharType="separate"/>
        </w:r>
        <w:r w:rsidR="007D7E4A">
          <w:rPr>
            <w:rFonts w:ascii="Verdana" w:hAnsi="Verdana"/>
            <w:noProof/>
            <w:sz w:val="20"/>
            <w:szCs w:val="20"/>
          </w:rPr>
          <w:t>1</w:t>
        </w:r>
        <w:r w:rsidRPr="001E5BBC">
          <w:rPr>
            <w:rFonts w:ascii="Verdana" w:hAnsi="Verdana"/>
            <w:noProof/>
            <w:sz w:val="20"/>
            <w:szCs w:val="20"/>
          </w:rPr>
          <w:fldChar w:fldCharType="end"/>
        </w:r>
      </w:p>
    </w:sdtContent>
  </w:sdt>
  <w:p w14:paraId="0ECDEDF3" w14:textId="77777777" w:rsidR="001E5BBC" w:rsidRPr="001E5BBC" w:rsidRDefault="001E5BBC">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F0747"/>
    <w:multiLevelType w:val="hybridMultilevel"/>
    <w:tmpl w:val="5F969BD6"/>
    <w:lvl w:ilvl="0" w:tplc="00171C0A">
      <w:start w:val="1"/>
      <w:numFmt w:val="lowerLetter"/>
      <w:lvlText w:val="%1)"/>
      <w:lvlJc w:val="left"/>
      <w:pPr>
        <w:ind w:left="720" w:hanging="360"/>
      </w:pPr>
    </w:lvl>
    <w:lvl w:ilvl="1" w:tplc="00191C0A">
      <w:start w:val="1"/>
      <w:numFmt w:val="lowerLetter"/>
      <w:lvlText w:val="%2."/>
      <w:lvlJc w:val="left"/>
      <w:pPr>
        <w:ind w:left="1440" w:hanging="360"/>
      </w:pPr>
    </w:lvl>
    <w:lvl w:ilvl="2" w:tplc="001B1C0A">
      <w:start w:val="1"/>
      <w:numFmt w:val="lowerRoman"/>
      <w:lvlText w:val="%3."/>
      <w:lvlJc w:val="right"/>
      <w:pPr>
        <w:ind w:left="2160" w:hanging="180"/>
      </w:pPr>
    </w:lvl>
    <w:lvl w:ilvl="3" w:tplc="000F1C0A">
      <w:start w:val="1"/>
      <w:numFmt w:val="decimal"/>
      <w:lvlText w:val="%4."/>
      <w:lvlJc w:val="left"/>
      <w:pPr>
        <w:ind w:left="2880" w:hanging="360"/>
      </w:pPr>
    </w:lvl>
    <w:lvl w:ilvl="4" w:tplc="00191C0A">
      <w:start w:val="1"/>
      <w:numFmt w:val="lowerLetter"/>
      <w:lvlText w:val="%5."/>
      <w:lvlJc w:val="left"/>
      <w:pPr>
        <w:ind w:left="3600" w:hanging="360"/>
      </w:pPr>
    </w:lvl>
    <w:lvl w:ilvl="5" w:tplc="001B1C0A">
      <w:start w:val="1"/>
      <w:numFmt w:val="lowerRoman"/>
      <w:lvlText w:val="%6."/>
      <w:lvlJc w:val="right"/>
      <w:pPr>
        <w:ind w:left="4320" w:hanging="180"/>
      </w:pPr>
    </w:lvl>
    <w:lvl w:ilvl="6" w:tplc="000F1C0A">
      <w:start w:val="1"/>
      <w:numFmt w:val="decimal"/>
      <w:lvlText w:val="%7."/>
      <w:lvlJc w:val="left"/>
      <w:pPr>
        <w:ind w:left="5040" w:hanging="360"/>
      </w:pPr>
    </w:lvl>
    <w:lvl w:ilvl="7" w:tplc="00191C0A">
      <w:start w:val="1"/>
      <w:numFmt w:val="lowerLetter"/>
      <w:lvlText w:val="%8."/>
      <w:lvlJc w:val="left"/>
      <w:pPr>
        <w:ind w:left="5760" w:hanging="360"/>
      </w:pPr>
    </w:lvl>
    <w:lvl w:ilvl="8" w:tplc="001B1C0A">
      <w:start w:val="1"/>
      <w:numFmt w:val="lowerRoman"/>
      <w:lvlText w:val="%9."/>
      <w:lvlJc w:val="right"/>
      <w:pPr>
        <w:ind w:left="6480" w:hanging="180"/>
      </w:pPr>
    </w:lvl>
  </w:abstractNum>
  <w:abstractNum w:abstractNumId="1" w15:restartNumberingAfterBreak="0">
    <w:nsid w:val="500D50F6"/>
    <w:multiLevelType w:val="hybridMultilevel"/>
    <w:tmpl w:val="90E0872E"/>
    <w:lvl w:ilvl="0" w:tplc="2708BE56">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673B06F4"/>
    <w:multiLevelType w:val="hybridMultilevel"/>
    <w:tmpl w:val="90DCAA8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BBC"/>
    <w:rsid w:val="001420F8"/>
    <w:rsid w:val="001A61AE"/>
    <w:rsid w:val="001E5BBC"/>
    <w:rsid w:val="00232D6F"/>
    <w:rsid w:val="0029535E"/>
    <w:rsid w:val="002D07EC"/>
    <w:rsid w:val="002E7577"/>
    <w:rsid w:val="003243AA"/>
    <w:rsid w:val="003A7E5E"/>
    <w:rsid w:val="00447468"/>
    <w:rsid w:val="0045425A"/>
    <w:rsid w:val="004A0358"/>
    <w:rsid w:val="005C0919"/>
    <w:rsid w:val="006B0B84"/>
    <w:rsid w:val="00722C26"/>
    <w:rsid w:val="007D7E4A"/>
    <w:rsid w:val="008653EF"/>
    <w:rsid w:val="008E06E0"/>
    <w:rsid w:val="008E165E"/>
    <w:rsid w:val="00912B9D"/>
    <w:rsid w:val="00930E2E"/>
    <w:rsid w:val="009832C0"/>
    <w:rsid w:val="00B83016"/>
    <w:rsid w:val="00C37C02"/>
    <w:rsid w:val="00C668E1"/>
    <w:rsid w:val="00CE5F4B"/>
    <w:rsid w:val="00DA4C6C"/>
    <w:rsid w:val="00E24E4F"/>
    <w:rsid w:val="00E734E4"/>
    <w:rsid w:val="00E85768"/>
    <w:rsid w:val="00EF47C7"/>
    <w:rsid w:val="00F4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758AA"/>
  <w15:docId w15:val="{0D6EC4C5-7020-47DA-A129-D57DA2DEE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CR"/>
    </w:rPr>
  </w:style>
  <w:style w:type="paragraph" w:styleId="Ttulo4">
    <w:name w:val="heading 4"/>
    <w:basedOn w:val="Normal"/>
    <w:next w:val="Normal"/>
    <w:link w:val="Ttulo4Car"/>
    <w:qFormat/>
    <w:rsid w:val="001E5BBC"/>
    <w:pPr>
      <w:keepNext/>
      <w:spacing w:after="0" w:line="240" w:lineRule="auto"/>
      <w:ind w:right="6"/>
      <w:jc w:val="center"/>
      <w:outlineLvl w:val="3"/>
    </w:pPr>
    <w:rPr>
      <w:rFonts w:ascii="Garamond" w:eastAsia="Times New Roman" w:hAnsi="Garamond" w:cs="Times New Roman"/>
      <w:b/>
      <w:smallCaps/>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E5BB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E5BBC"/>
  </w:style>
  <w:style w:type="paragraph" w:styleId="Piedepgina">
    <w:name w:val="footer"/>
    <w:basedOn w:val="Normal"/>
    <w:link w:val="PiedepginaCar"/>
    <w:uiPriority w:val="99"/>
    <w:unhideWhenUsed/>
    <w:rsid w:val="001E5BB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5BBC"/>
  </w:style>
  <w:style w:type="character" w:customStyle="1" w:styleId="Ttulo4Car">
    <w:name w:val="Título 4 Car"/>
    <w:basedOn w:val="Fuentedeprrafopredeter"/>
    <w:link w:val="Ttulo4"/>
    <w:rsid w:val="001E5BBC"/>
    <w:rPr>
      <w:rFonts w:ascii="Garamond" w:eastAsia="Times New Roman" w:hAnsi="Garamond" w:cs="Times New Roman"/>
      <w:b/>
      <w:smallCaps/>
      <w:sz w:val="24"/>
      <w:szCs w:val="20"/>
      <w:lang w:val="es-ES_tradnl" w:eastAsia="es-ES"/>
    </w:rPr>
  </w:style>
  <w:style w:type="paragraph" w:styleId="Sangradetextonormal">
    <w:name w:val="Body Text Indent"/>
    <w:basedOn w:val="Normal"/>
    <w:link w:val="SangradetextonormalCar"/>
    <w:rsid w:val="0045425A"/>
    <w:pPr>
      <w:widowControl w:val="0"/>
      <w:spacing w:after="0" w:line="240" w:lineRule="auto"/>
      <w:ind w:left="720"/>
      <w:jc w:val="both"/>
    </w:pPr>
    <w:rPr>
      <w:rFonts w:ascii="Univers" w:eastAsia="Times New Roman" w:hAnsi="Univers" w:cs="Times New Roman"/>
      <w:sz w:val="20"/>
      <w:szCs w:val="20"/>
      <w:lang w:val="es-CO" w:eastAsia="es-ES"/>
    </w:rPr>
  </w:style>
  <w:style w:type="character" w:customStyle="1" w:styleId="SangradetextonormalCar">
    <w:name w:val="Sangría de texto normal Car"/>
    <w:basedOn w:val="Fuentedeprrafopredeter"/>
    <w:link w:val="Sangradetextonormal"/>
    <w:rsid w:val="0045425A"/>
    <w:rPr>
      <w:rFonts w:ascii="Univers" w:eastAsia="Times New Roman" w:hAnsi="Univers" w:cs="Times New Roman"/>
      <w:sz w:val="20"/>
      <w:szCs w:val="20"/>
      <w:lang w:val="es-CO" w:eastAsia="es-ES"/>
    </w:rPr>
  </w:style>
  <w:style w:type="paragraph" w:styleId="Textoindependiente2">
    <w:name w:val="Body Text 2"/>
    <w:basedOn w:val="Normal"/>
    <w:link w:val="Textoindependiente2Car"/>
    <w:uiPriority w:val="99"/>
    <w:unhideWhenUsed/>
    <w:rsid w:val="0045425A"/>
    <w:pPr>
      <w:spacing w:after="120" w:line="480" w:lineRule="auto"/>
    </w:pPr>
  </w:style>
  <w:style w:type="character" w:customStyle="1" w:styleId="Textoindependiente2Car">
    <w:name w:val="Texto independiente 2 Car"/>
    <w:basedOn w:val="Fuentedeprrafopredeter"/>
    <w:link w:val="Textoindependiente2"/>
    <w:uiPriority w:val="99"/>
    <w:rsid w:val="0045425A"/>
  </w:style>
  <w:style w:type="paragraph" w:customStyle="1" w:styleId="Lneadereferencia">
    <w:name w:val="Línea de referencia"/>
    <w:basedOn w:val="Sangradetextonormal"/>
    <w:rsid w:val="0045425A"/>
    <w:pPr>
      <w:widowControl/>
      <w:ind w:left="0"/>
    </w:pPr>
    <w:rPr>
      <w:rFonts w:ascii="Garamond" w:hAnsi="Garamond"/>
      <w:sz w:val="24"/>
      <w:lang w:val="es-ES_tradnl"/>
    </w:rPr>
  </w:style>
  <w:style w:type="paragraph" w:styleId="Prrafodelista">
    <w:name w:val="List Paragraph"/>
    <w:basedOn w:val="Normal"/>
    <w:qFormat/>
    <w:rsid w:val="00142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42635">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7345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4251</Characters>
  <Application>Microsoft Office Word</Application>
  <DocSecurity>4</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Shashira Douglas</cp:lastModifiedBy>
  <cp:revision>2</cp:revision>
  <cp:lastPrinted>2018-12-06T19:29:00Z</cp:lastPrinted>
  <dcterms:created xsi:type="dcterms:W3CDTF">2022-01-02T02:47:00Z</dcterms:created>
  <dcterms:modified xsi:type="dcterms:W3CDTF">2022-01-02T02:47:00Z</dcterms:modified>
</cp:coreProperties>
</file>