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5A" w:rsidRDefault="00932D5A" w:rsidP="00932D5A">
      <w:pPr>
        <w:pStyle w:val="Ttulo"/>
        <w:ind w:left="-142" w:right="-138"/>
        <w:rPr>
          <w:rFonts w:eastAsia="MS Mincho"/>
          <w:u w:val="single"/>
        </w:rPr>
      </w:pPr>
      <w:r w:rsidRPr="00830797">
        <w:rPr>
          <w:rFonts w:eastAsia="MS Mincho"/>
          <w:u w:val="single"/>
        </w:rPr>
        <w:t xml:space="preserve">Caso Masacres de Río Negro </w:t>
      </w:r>
      <w:r w:rsidRPr="00830797">
        <w:rPr>
          <w:rFonts w:eastAsia="MS Mincho"/>
          <w:i/>
          <w:u w:val="single"/>
        </w:rPr>
        <w:t>Vs.</w:t>
      </w:r>
      <w:r w:rsidRPr="00830797">
        <w:rPr>
          <w:rFonts w:eastAsia="MS Mincho"/>
          <w:u w:val="single"/>
        </w:rPr>
        <w:t xml:space="preserve"> Guatemala: reparaciones </w:t>
      </w:r>
      <w:r>
        <w:rPr>
          <w:rFonts w:eastAsia="MS Mincho"/>
          <w:u w:val="single"/>
        </w:rPr>
        <w:t>declaradas cumplidas</w:t>
      </w:r>
    </w:p>
    <w:p w:rsidR="00932D5A" w:rsidRDefault="00932D5A" w:rsidP="00932D5A">
      <w:pPr>
        <w:pStyle w:val="Ttulo"/>
        <w:ind w:left="-142" w:right="-138"/>
        <w:rPr>
          <w:rFonts w:eastAsia="MS Mincho"/>
          <w:u w:val="single"/>
        </w:rPr>
      </w:pPr>
    </w:p>
    <w:p w:rsidR="00932D5A" w:rsidRPr="00932D5A" w:rsidRDefault="00932D5A" w:rsidP="00932D5A">
      <w:pPr>
        <w:pStyle w:val="Prrafodelista"/>
        <w:spacing w:after="0" w:line="240" w:lineRule="auto"/>
        <w:ind w:left="360" w:right="99" w:hanging="360"/>
        <w:jc w:val="both"/>
        <w:rPr>
          <w:rFonts w:ascii="Verdana" w:hAnsi="Verdana"/>
          <w:sz w:val="20"/>
          <w:szCs w:val="20"/>
          <w:lang w:val="es-MX"/>
        </w:rPr>
      </w:pPr>
    </w:p>
    <w:p w:rsidR="00932D5A" w:rsidRDefault="00932D5A" w:rsidP="00932D5A">
      <w:pPr>
        <w:pStyle w:val="Prrafodelista"/>
        <w:numPr>
          <w:ilvl w:val="0"/>
          <w:numId w:val="2"/>
        </w:numPr>
        <w:spacing w:after="0" w:line="240" w:lineRule="auto"/>
        <w:ind w:right="99"/>
        <w:jc w:val="both"/>
        <w:rPr>
          <w:rFonts w:ascii="Verdana" w:hAnsi="Verdana"/>
          <w:sz w:val="20"/>
          <w:szCs w:val="20"/>
          <w:lang w:val="es-CR"/>
        </w:rPr>
      </w:pPr>
      <w:r w:rsidRPr="00932D5A">
        <w:rPr>
          <w:rFonts w:ascii="Verdana" w:hAnsi="Verdana"/>
          <w:sz w:val="20"/>
          <w:szCs w:val="20"/>
          <w:lang w:val="es-MX"/>
        </w:rPr>
        <w:t>Publicaciones</w:t>
      </w:r>
      <w:r w:rsidRPr="00932D5A">
        <w:rPr>
          <w:rFonts w:ascii="Verdana" w:hAnsi="Verdana"/>
          <w:sz w:val="20"/>
          <w:szCs w:val="20"/>
          <w:lang w:val="es-CR"/>
        </w:rPr>
        <w:t xml:space="preserve"> de la Sentencia en una página web del Estado en español, la publicación del </w:t>
      </w:r>
      <w:r w:rsidRPr="00932D5A">
        <w:rPr>
          <w:rFonts w:ascii="Verdana" w:hAnsi="Verdana"/>
          <w:sz w:val="20"/>
          <w:szCs w:val="20"/>
          <w:lang w:val="es-MX"/>
        </w:rPr>
        <w:t>resumen</w:t>
      </w:r>
      <w:r w:rsidRPr="00932D5A">
        <w:rPr>
          <w:rFonts w:ascii="Verdana" w:hAnsi="Verdana"/>
          <w:sz w:val="20"/>
          <w:szCs w:val="20"/>
          <w:lang w:val="es-CR"/>
        </w:rPr>
        <w:t xml:space="preserve"> oficial de la Sentencia en un diario oficial y en un diario de circulación nacional, tanto en español como en maya </w:t>
      </w:r>
      <w:proofErr w:type="spellStart"/>
      <w:r w:rsidRPr="00932D5A">
        <w:rPr>
          <w:rFonts w:ascii="Verdana" w:hAnsi="Verdana"/>
          <w:sz w:val="20"/>
          <w:szCs w:val="20"/>
          <w:lang w:val="es-CR"/>
        </w:rPr>
        <w:t>achí</w:t>
      </w:r>
      <w:proofErr w:type="spellEnd"/>
      <w:r w:rsidRPr="00932D5A">
        <w:rPr>
          <w:rFonts w:ascii="Verdana" w:hAnsi="Verdana"/>
          <w:sz w:val="20"/>
          <w:szCs w:val="20"/>
          <w:lang w:val="es-CR"/>
        </w:rPr>
        <w:t>.</w:t>
      </w:r>
    </w:p>
    <w:p w:rsidR="00006092" w:rsidRDefault="00006092" w:rsidP="00006092">
      <w:pPr>
        <w:pStyle w:val="Prrafodelista"/>
        <w:spacing w:after="0" w:line="240" w:lineRule="auto"/>
        <w:ind w:left="360" w:right="99"/>
        <w:jc w:val="both"/>
        <w:rPr>
          <w:rFonts w:ascii="Verdana" w:hAnsi="Verdana"/>
          <w:sz w:val="20"/>
          <w:szCs w:val="20"/>
          <w:lang w:val="es-CR"/>
        </w:rPr>
      </w:pPr>
    </w:p>
    <w:p w:rsidR="00006092" w:rsidRDefault="00006092" w:rsidP="00006092">
      <w:pPr>
        <w:pStyle w:val="Prrafodelista"/>
        <w:numPr>
          <w:ilvl w:val="0"/>
          <w:numId w:val="2"/>
        </w:numPr>
        <w:spacing w:after="0" w:line="240" w:lineRule="auto"/>
        <w:ind w:right="99"/>
        <w:jc w:val="both"/>
        <w:rPr>
          <w:rFonts w:ascii="Verdana" w:hAnsi="Verdana" w:cs="Arial"/>
          <w:sz w:val="20"/>
          <w:szCs w:val="20"/>
          <w:lang w:val="es-MX"/>
        </w:rPr>
      </w:pPr>
      <w:r>
        <w:rPr>
          <w:rFonts w:ascii="Verdana" w:hAnsi="Verdana"/>
          <w:sz w:val="20"/>
          <w:szCs w:val="20"/>
          <w:lang w:val="es-MX"/>
        </w:rPr>
        <w:t>Pagar las cantidad</w:t>
      </w:r>
      <w:r w:rsidR="008B293A">
        <w:rPr>
          <w:rFonts w:ascii="Verdana" w:hAnsi="Verdana"/>
          <w:sz w:val="20"/>
          <w:szCs w:val="20"/>
          <w:lang w:val="es-MX"/>
        </w:rPr>
        <w:t>es fijadas en los párrafos</w:t>
      </w:r>
      <w:r>
        <w:rPr>
          <w:rFonts w:ascii="Verdana" w:hAnsi="Verdana"/>
          <w:sz w:val="20"/>
          <w:szCs w:val="20"/>
          <w:lang w:val="es-MX"/>
        </w:rPr>
        <w:t xml:space="preserve"> 317 de la presente Sentencia, por concepto de reintegro de costas y gastos, en los términos de los referidos párrafos y de los pá</w:t>
      </w:r>
      <w:r w:rsidR="008B293A">
        <w:rPr>
          <w:rFonts w:ascii="Verdana" w:hAnsi="Verdana"/>
          <w:sz w:val="20"/>
          <w:szCs w:val="20"/>
          <w:lang w:val="es-MX"/>
        </w:rPr>
        <w:t>rrafos 318 a 323 de este Fallo.</w:t>
      </w:r>
      <w:r>
        <w:rPr>
          <w:rFonts w:ascii="Verdana" w:hAnsi="Verdana"/>
          <w:sz w:val="20"/>
          <w:szCs w:val="20"/>
          <w:lang w:val="es-MX"/>
        </w:rPr>
        <w:t xml:space="preserve"> </w:t>
      </w:r>
    </w:p>
    <w:p w:rsidR="0051411B" w:rsidRDefault="0051411B">
      <w:pPr>
        <w:rPr>
          <w:rFonts w:ascii="Verdana" w:hAnsi="Verdana"/>
          <w:sz w:val="20"/>
          <w:szCs w:val="20"/>
        </w:rPr>
      </w:pPr>
    </w:p>
    <w:p w:rsidR="00612251" w:rsidRDefault="00612251">
      <w:pPr>
        <w:rPr>
          <w:rFonts w:ascii="Verdana" w:hAnsi="Verdana"/>
          <w:b/>
          <w:sz w:val="20"/>
          <w:szCs w:val="20"/>
        </w:rPr>
      </w:pPr>
      <w:r>
        <w:rPr>
          <w:rFonts w:ascii="Verdana" w:hAnsi="Verdana"/>
          <w:b/>
          <w:sz w:val="20"/>
          <w:szCs w:val="20"/>
        </w:rPr>
        <w:t>Cumplimiento parcial</w:t>
      </w:r>
    </w:p>
    <w:p w:rsidR="007B5852" w:rsidRPr="00DC189F" w:rsidRDefault="007B5852" w:rsidP="007B5852">
      <w:pPr>
        <w:pStyle w:val="Prrafodelista"/>
        <w:numPr>
          <w:ilvl w:val="0"/>
          <w:numId w:val="2"/>
        </w:numPr>
        <w:spacing w:after="0" w:line="240" w:lineRule="auto"/>
        <w:ind w:right="99"/>
        <w:jc w:val="both"/>
        <w:rPr>
          <w:rFonts w:ascii="Verdana" w:hAnsi="Verdana"/>
          <w:sz w:val="20"/>
          <w:szCs w:val="20"/>
          <w:lang w:val="es-MX"/>
        </w:rPr>
      </w:pPr>
      <w:proofErr w:type="spellStart"/>
      <w:r w:rsidRPr="007B5852">
        <w:rPr>
          <w:rFonts w:ascii="Verdana" w:hAnsi="Verdana"/>
          <w:sz w:val="20"/>
          <w:szCs w:val="20"/>
          <w:lang w:val="es-MX"/>
        </w:rPr>
        <w:t>Realizar</w:t>
      </w:r>
      <w:proofErr w:type="spellEnd"/>
      <w:r w:rsidRPr="00DC189F">
        <w:rPr>
          <w:rFonts w:ascii="Verdana" w:hAnsi="Verdana"/>
          <w:sz w:val="20"/>
          <w:szCs w:val="20"/>
        </w:rPr>
        <w:t xml:space="preserve"> las </w:t>
      </w:r>
      <w:proofErr w:type="spellStart"/>
      <w:r w:rsidRPr="00DC189F">
        <w:rPr>
          <w:rFonts w:ascii="Verdana" w:hAnsi="Verdana"/>
          <w:sz w:val="20"/>
          <w:szCs w:val="20"/>
        </w:rPr>
        <w:t>obras</w:t>
      </w:r>
      <w:proofErr w:type="spellEnd"/>
      <w:r w:rsidRPr="00DC189F">
        <w:rPr>
          <w:rFonts w:ascii="Verdana" w:hAnsi="Verdana"/>
          <w:sz w:val="20"/>
          <w:szCs w:val="20"/>
        </w:rPr>
        <w:t xml:space="preserve"> de </w:t>
      </w:r>
      <w:proofErr w:type="spellStart"/>
      <w:r w:rsidRPr="00DC189F">
        <w:rPr>
          <w:rFonts w:ascii="Verdana" w:hAnsi="Verdana"/>
          <w:sz w:val="20"/>
          <w:szCs w:val="20"/>
        </w:rPr>
        <w:t>infraestructura</w:t>
      </w:r>
      <w:proofErr w:type="spellEnd"/>
      <w:r w:rsidRPr="00DC189F">
        <w:rPr>
          <w:rFonts w:ascii="Verdana" w:hAnsi="Verdana"/>
          <w:sz w:val="20"/>
          <w:szCs w:val="20"/>
        </w:rPr>
        <w:t xml:space="preserve"> y </w:t>
      </w:r>
      <w:proofErr w:type="spellStart"/>
      <w:r w:rsidRPr="00DC189F">
        <w:rPr>
          <w:rFonts w:ascii="Verdana" w:hAnsi="Verdana"/>
          <w:sz w:val="20"/>
          <w:szCs w:val="20"/>
        </w:rPr>
        <w:t>servicios</w:t>
      </w:r>
      <w:proofErr w:type="spellEnd"/>
      <w:r w:rsidRPr="00DC189F">
        <w:rPr>
          <w:rFonts w:ascii="Verdana" w:hAnsi="Verdana"/>
          <w:sz w:val="20"/>
          <w:szCs w:val="20"/>
        </w:rPr>
        <w:t xml:space="preserve"> </w:t>
      </w:r>
      <w:proofErr w:type="spellStart"/>
      <w:r w:rsidRPr="00DC189F">
        <w:rPr>
          <w:rFonts w:ascii="Verdana" w:hAnsi="Verdana"/>
          <w:sz w:val="20"/>
          <w:szCs w:val="20"/>
        </w:rPr>
        <w:t>básicos</w:t>
      </w:r>
      <w:proofErr w:type="spellEnd"/>
      <w:r w:rsidRPr="00DC189F">
        <w:rPr>
          <w:rFonts w:ascii="Verdana" w:hAnsi="Verdana"/>
          <w:sz w:val="20"/>
          <w:szCs w:val="20"/>
        </w:rPr>
        <w:t xml:space="preserve"> a favor de </w:t>
      </w:r>
      <w:proofErr w:type="spellStart"/>
      <w:r w:rsidRPr="00DC189F">
        <w:rPr>
          <w:rFonts w:ascii="Verdana" w:hAnsi="Verdana"/>
          <w:sz w:val="20"/>
          <w:szCs w:val="20"/>
        </w:rPr>
        <w:t>los</w:t>
      </w:r>
      <w:proofErr w:type="spellEnd"/>
      <w:r w:rsidRPr="00DC189F">
        <w:rPr>
          <w:rFonts w:ascii="Verdana" w:hAnsi="Verdana"/>
          <w:sz w:val="20"/>
          <w:szCs w:val="20"/>
        </w:rPr>
        <w:t xml:space="preserve"> </w:t>
      </w:r>
      <w:proofErr w:type="spellStart"/>
      <w:r w:rsidRPr="00DC189F">
        <w:rPr>
          <w:rFonts w:ascii="Verdana" w:hAnsi="Verdana"/>
          <w:sz w:val="20"/>
          <w:szCs w:val="20"/>
        </w:rPr>
        <w:t>miembros</w:t>
      </w:r>
      <w:proofErr w:type="spellEnd"/>
      <w:r w:rsidRPr="00DC189F">
        <w:rPr>
          <w:rFonts w:ascii="Verdana" w:hAnsi="Verdana"/>
          <w:sz w:val="20"/>
          <w:szCs w:val="20"/>
        </w:rPr>
        <w:t xml:space="preserve"> de la </w:t>
      </w:r>
      <w:proofErr w:type="spellStart"/>
      <w:r w:rsidRPr="00DC189F">
        <w:rPr>
          <w:rFonts w:ascii="Verdana" w:hAnsi="Verdana"/>
          <w:sz w:val="20"/>
          <w:szCs w:val="20"/>
        </w:rPr>
        <w:t>comunidad</w:t>
      </w:r>
      <w:proofErr w:type="spellEnd"/>
      <w:r w:rsidRPr="00DC189F">
        <w:rPr>
          <w:rFonts w:ascii="Verdana" w:hAnsi="Verdana"/>
          <w:sz w:val="20"/>
          <w:szCs w:val="20"/>
        </w:rPr>
        <w:t xml:space="preserve"> de Río Negro que </w:t>
      </w:r>
      <w:proofErr w:type="spellStart"/>
      <w:r w:rsidRPr="00DC189F">
        <w:rPr>
          <w:rFonts w:ascii="Verdana" w:hAnsi="Verdana"/>
          <w:sz w:val="20"/>
          <w:szCs w:val="20"/>
        </w:rPr>
        <w:t>residen</w:t>
      </w:r>
      <w:proofErr w:type="spellEnd"/>
      <w:r w:rsidRPr="00DC189F">
        <w:rPr>
          <w:rFonts w:ascii="Verdana" w:hAnsi="Verdana"/>
          <w:sz w:val="20"/>
          <w:szCs w:val="20"/>
        </w:rPr>
        <w:t xml:space="preserve"> </w:t>
      </w:r>
      <w:proofErr w:type="spellStart"/>
      <w:r w:rsidRPr="00DC189F">
        <w:rPr>
          <w:rFonts w:ascii="Verdana" w:hAnsi="Verdana"/>
          <w:sz w:val="20"/>
          <w:szCs w:val="20"/>
        </w:rPr>
        <w:t>en</w:t>
      </w:r>
      <w:proofErr w:type="spellEnd"/>
      <w:r w:rsidRPr="00DC189F">
        <w:rPr>
          <w:rFonts w:ascii="Verdana" w:hAnsi="Verdana"/>
          <w:sz w:val="20"/>
          <w:szCs w:val="20"/>
        </w:rPr>
        <w:t xml:space="preserve"> la </w:t>
      </w:r>
      <w:proofErr w:type="spellStart"/>
      <w:r w:rsidRPr="00DC189F">
        <w:rPr>
          <w:rFonts w:ascii="Verdana" w:hAnsi="Verdana"/>
          <w:sz w:val="20"/>
          <w:szCs w:val="20"/>
        </w:rPr>
        <w:t>colonia</w:t>
      </w:r>
      <w:proofErr w:type="spellEnd"/>
      <w:r w:rsidRPr="00DC189F">
        <w:rPr>
          <w:rFonts w:ascii="Verdana" w:hAnsi="Verdana"/>
          <w:sz w:val="20"/>
          <w:szCs w:val="20"/>
        </w:rPr>
        <w:t xml:space="preserve"> </w:t>
      </w:r>
      <w:proofErr w:type="spellStart"/>
      <w:r w:rsidRPr="00DC189F">
        <w:rPr>
          <w:rFonts w:ascii="Verdana" w:hAnsi="Verdana"/>
          <w:sz w:val="20"/>
          <w:szCs w:val="20"/>
        </w:rPr>
        <w:t>Pacux</w:t>
      </w:r>
      <w:proofErr w:type="spellEnd"/>
      <w:r w:rsidRPr="00DC189F">
        <w:rPr>
          <w:rFonts w:ascii="Verdana" w:hAnsi="Verdana"/>
          <w:sz w:val="20"/>
          <w:szCs w:val="20"/>
        </w:rPr>
        <w:t xml:space="preserve">, </w:t>
      </w:r>
      <w:proofErr w:type="spellStart"/>
      <w:r w:rsidRPr="00DC189F">
        <w:rPr>
          <w:rFonts w:ascii="Verdana" w:hAnsi="Verdana"/>
          <w:sz w:val="20"/>
          <w:szCs w:val="20"/>
        </w:rPr>
        <w:t>en</w:t>
      </w:r>
      <w:proofErr w:type="spellEnd"/>
      <w:r w:rsidRPr="00DC189F">
        <w:rPr>
          <w:rFonts w:ascii="Verdana" w:hAnsi="Verdana"/>
          <w:sz w:val="20"/>
          <w:szCs w:val="20"/>
        </w:rPr>
        <w:t xml:space="preserve"> </w:t>
      </w:r>
      <w:proofErr w:type="spellStart"/>
      <w:r w:rsidRPr="00DC189F">
        <w:rPr>
          <w:rFonts w:ascii="Verdana" w:hAnsi="Verdana"/>
          <w:sz w:val="20"/>
          <w:szCs w:val="20"/>
        </w:rPr>
        <w:t>los</w:t>
      </w:r>
      <w:proofErr w:type="spellEnd"/>
      <w:r w:rsidRPr="00DC189F">
        <w:rPr>
          <w:rFonts w:ascii="Verdana" w:hAnsi="Verdana"/>
          <w:sz w:val="20"/>
          <w:szCs w:val="20"/>
        </w:rPr>
        <w:t xml:space="preserve"> </w:t>
      </w:r>
      <w:proofErr w:type="spellStart"/>
      <w:r w:rsidRPr="00DC189F">
        <w:rPr>
          <w:rFonts w:ascii="Verdana" w:hAnsi="Verdana"/>
          <w:sz w:val="20"/>
          <w:szCs w:val="20"/>
        </w:rPr>
        <w:t>términos</w:t>
      </w:r>
      <w:proofErr w:type="spellEnd"/>
      <w:r w:rsidRPr="00DC189F">
        <w:rPr>
          <w:rFonts w:ascii="Verdana" w:hAnsi="Verdana"/>
          <w:sz w:val="20"/>
          <w:szCs w:val="20"/>
        </w:rPr>
        <w:t xml:space="preserve"> de lo </w:t>
      </w:r>
      <w:proofErr w:type="spellStart"/>
      <w:r w:rsidRPr="00DC189F">
        <w:rPr>
          <w:rFonts w:ascii="Verdana" w:hAnsi="Verdana"/>
          <w:sz w:val="20"/>
          <w:szCs w:val="20"/>
        </w:rPr>
        <w:t>señalado</w:t>
      </w:r>
      <w:proofErr w:type="spellEnd"/>
      <w:r w:rsidRPr="00DC189F">
        <w:rPr>
          <w:rFonts w:ascii="Verdana" w:hAnsi="Verdana"/>
          <w:sz w:val="20"/>
          <w:szCs w:val="20"/>
        </w:rPr>
        <w:t xml:space="preserve"> </w:t>
      </w:r>
      <w:proofErr w:type="spellStart"/>
      <w:r w:rsidRPr="00DC189F">
        <w:rPr>
          <w:rFonts w:ascii="Verdana" w:hAnsi="Verdana"/>
          <w:sz w:val="20"/>
          <w:szCs w:val="20"/>
        </w:rPr>
        <w:t>en</w:t>
      </w:r>
      <w:proofErr w:type="spellEnd"/>
      <w:r w:rsidRPr="00DC189F">
        <w:rPr>
          <w:rFonts w:ascii="Verdana" w:hAnsi="Verdana"/>
          <w:sz w:val="20"/>
          <w:szCs w:val="20"/>
        </w:rPr>
        <w:t xml:space="preserve"> el </w:t>
      </w:r>
      <w:proofErr w:type="spellStart"/>
      <w:r w:rsidRPr="00DC189F">
        <w:rPr>
          <w:rFonts w:ascii="Verdana" w:hAnsi="Verdana"/>
          <w:sz w:val="20"/>
          <w:szCs w:val="20"/>
        </w:rPr>
        <w:t>párrafo</w:t>
      </w:r>
      <w:proofErr w:type="spellEnd"/>
      <w:r w:rsidRPr="00DC189F">
        <w:rPr>
          <w:rFonts w:ascii="Verdana" w:hAnsi="Verdana"/>
          <w:sz w:val="20"/>
          <w:szCs w:val="20"/>
        </w:rPr>
        <w:t xml:space="preserve"> 284 del </w:t>
      </w:r>
      <w:proofErr w:type="spellStart"/>
      <w:r w:rsidRPr="00DC189F">
        <w:rPr>
          <w:rFonts w:ascii="Verdana" w:hAnsi="Verdana"/>
          <w:sz w:val="20"/>
          <w:szCs w:val="20"/>
        </w:rPr>
        <w:t>presente</w:t>
      </w:r>
      <w:proofErr w:type="spellEnd"/>
      <w:r w:rsidRPr="00DC189F">
        <w:rPr>
          <w:rFonts w:ascii="Verdana" w:hAnsi="Verdana"/>
          <w:sz w:val="20"/>
          <w:szCs w:val="20"/>
        </w:rPr>
        <w:t xml:space="preserve"> </w:t>
      </w:r>
      <w:proofErr w:type="spellStart"/>
      <w:r w:rsidRPr="00DC189F">
        <w:rPr>
          <w:rFonts w:ascii="Verdana" w:hAnsi="Verdana"/>
          <w:sz w:val="20"/>
          <w:szCs w:val="20"/>
        </w:rPr>
        <w:t>Fallo</w:t>
      </w:r>
      <w:proofErr w:type="spellEnd"/>
      <w:r w:rsidRPr="00DC189F">
        <w:rPr>
          <w:rFonts w:ascii="Verdana" w:hAnsi="Verdana"/>
          <w:sz w:val="20"/>
          <w:szCs w:val="20"/>
        </w:rPr>
        <w:t>:</w:t>
      </w:r>
    </w:p>
    <w:p w:rsidR="007B5852" w:rsidRPr="00DC189F" w:rsidRDefault="007B5852" w:rsidP="007B5852">
      <w:pPr>
        <w:pStyle w:val="Prrafodelista"/>
        <w:spacing w:after="0" w:line="240" w:lineRule="auto"/>
        <w:ind w:left="360" w:right="99"/>
        <w:jc w:val="both"/>
        <w:rPr>
          <w:rFonts w:ascii="Verdana" w:hAnsi="Verdana"/>
          <w:sz w:val="20"/>
          <w:szCs w:val="20"/>
          <w:lang w:val="es-MX"/>
        </w:rPr>
      </w:pPr>
    </w:p>
    <w:p w:rsidR="007B5852" w:rsidRPr="00DC189F" w:rsidRDefault="007B5852" w:rsidP="007B5852">
      <w:pPr>
        <w:pStyle w:val="Prrafodelista"/>
        <w:numPr>
          <w:ilvl w:val="1"/>
          <w:numId w:val="4"/>
        </w:numPr>
        <w:spacing w:after="0" w:line="240" w:lineRule="auto"/>
        <w:ind w:left="644" w:right="99"/>
        <w:jc w:val="both"/>
        <w:rPr>
          <w:rFonts w:ascii="Verdana" w:hAnsi="Verdana"/>
          <w:sz w:val="20"/>
          <w:szCs w:val="20"/>
          <w:lang w:val="es-MX"/>
        </w:rPr>
      </w:pPr>
      <w:proofErr w:type="spellStart"/>
      <w:r>
        <w:rPr>
          <w:rFonts w:ascii="Verdana" w:hAnsi="Verdana"/>
          <w:sz w:val="20"/>
          <w:szCs w:val="20"/>
        </w:rPr>
        <w:t>I</w:t>
      </w:r>
      <w:r w:rsidRPr="00DC189F">
        <w:rPr>
          <w:rFonts w:ascii="Verdana" w:hAnsi="Verdana"/>
          <w:sz w:val="20"/>
          <w:szCs w:val="20"/>
        </w:rPr>
        <w:t>mplementación</w:t>
      </w:r>
      <w:proofErr w:type="spellEnd"/>
      <w:r w:rsidRPr="00DC189F">
        <w:rPr>
          <w:rFonts w:ascii="Verdana" w:hAnsi="Verdana"/>
          <w:sz w:val="20"/>
          <w:szCs w:val="20"/>
        </w:rPr>
        <w:t xml:space="preserve"> de un </w:t>
      </w:r>
      <w:proofErr w:type="spellStart"/>
      <w:r w:rsidRPr="00DC189F">
        <w:rPr>
          <w:rFonts w:ascii="Verdana" w:hAnsi="Verdana"/>
          <w:sz w:val="20"/>
          <w:szCs w:val="20"/>
        </w:rPr>
        <w:t>sistema</w:t>
      </w:r>
      <w:proofErr w:type="spellEnd"/>
      <w:r w:rsidRPr="00DC189F">
        <w:rPr>
          <w:rFonts w:ascii="Verdana" w:hAnsi="Verdana"/>
          <w:sz w:val="20"/>
          <w:szCs w:val="20"/>
        </w:rPr>
        <w:t xml:space="preserve"> de </w:t>
      </w:r>
      <w:proofErr w:type="spellStart"/>
      <w:r w:rsidRPr="00DC189F">
        <w:rPr>
          <w:rFonts w:ascii="Verdana" w:hAnsi="Verdana"/>
          <w:sz w:val="20"/>
          <w:szCs w:val="20"/>
        </w:rPr>
        <w:t>alcantarillado</w:t>
      </w:r>
      <w:proofErr w:type="spellEnd"/>
      <w:r w:rsidRPr="00DC189F">
        <w:rPr>
          <w:rFonts w:ascii="Verdana" w:hAnsi="Verdana"/>
          <w:sz w:val="20"/>
          <w:szCs w:val="20"/>
        </w:rPr>
        <w:t xml:space="preserve"> y </w:t>
      </w:r>
      <w:proofErr w:type="spellStart"/>
      <w:r w:rsidRPr="00DC189F">
        <w:rPr>
          <w:rFonts w:ascii="Verdana" w:hAnsi="Verdana"/>
          <w:sz w:val="20"/>
          <w:szCs w:val="20"/>
        </w:rPr>
        <w:t>tratamiento</w:t>
      </w:r>
      <w:proofErr w:type="spellEnd"/>
      <w:r w:rsidRPr="00DC189F">
        <w:rPr>
          <w:rFonts w:ascii="Verdana" w:hAnsi="Verdana"/>
          <w:sz w:val="20"/>
          <w:szCs w:val="20"/>
        </w:rPr>
        <w:t xml:space="preserve"> de </w:t>
      </w:r>
      <w:proofErr w:type="spellStart"/>
      <w:r w:rsidRPr="00DC189F">
        <w:rPr>
          <w:rFonts w:ascii="Verdana" w:hAnsi="Verdana"/>
          <w:sz w:val="20"/>
          <w:szCs w:val="20"/>
        </w:rPr>
        <w:t>aguas</w:t>
      </w:r>
      <w:proofErr w:type="spellEnd"/>
      <w:r w:rsidRPr="00DC189F">
        <w:rPr>
          <w:rFonts w:ascii="Verdana" w:hAnsi="Verdana"/>
          <w:sz w:val="20"/>
          <w:szCs w:val="20"/>
        </w:rPr>
        <w:t xml:space="preserve"> </w:t>
      </w:r>
      <w:proofErr w:type="spellStart"/>
      <w:r w:rsidRPr="00DC189F">
        <w:rPr>
          <w:rFonts w:ascii="Verdana" w:hAnsi="Verdana"/>
          <w:sz w:val="20"/>
          <w:szCs w:val="20"/>
        </w:rPr>
        <w:t>negras</w:t>
      </w:r>
      <w:proofErr w:type="spellEnd"/>
      <w:r w:rsidRPr="00DC189F">
        <w:rPr>
          <w:rFonts w:ascii="Verdana" w:hAnsi="Verdana"/>
          <w:sz w:val="20"/>
          <w:szCs w:val="20"/>
        </w:rPr>
        <w:t xml:space="preserve"> o </w:t>
      </w:r>
      <w:proofErr w:type="spellStart"/>
      <w:r w:rsidRPr="00DC189F">
        <w:rPr>
          <w:rFonts w:ascii="Verdana" w:hAnsi="Verdana"/>
          <w:sz w:val="20"/>
          <w:szCs w:val="20"/>
        </w:rPr>
        <w:t>residuales</w:t>
      </w:r>
      <w:proofErr w:type="spellEnd"/>
      <w:r w:rsidRPr="00DC189F">
        <w:rPr>
          <w:rFonts w:ascii="Verdana" w:hAnsi="Verdana"/>
          <w:sz w:val="20"/>
          <w:szCs w:val="20"/>
        </w:rPr>
        <w:t xml:space="preserve"> y </w:t>
      </w:r>
      <w:proofErr w:type="spellStart"/>
      <w:r w:rsidRPr="00DC189F">
        <w:rPr>
          <w:rFonts w:ascii="Verdana" w:hAnsi="Verdana"/>
          <w:sz w:val="20"/>
          <w:szCs w:val="20"/>
        </w:rPr>
        <w:t>abastecimiento</w:t>
      </w:r>
      <w:proofErr w:type="spellEnd"/>
      <w:r w:rsidRPr="00DC189F">
        <w:rPr>
          <w:rFonts w:ascii="Verdana" w:hAnsi="Verdana"/>
          <w:sz w:val="20"/>
          <w:szCs w:val="20"/>
        </w:rPr>
        <w:t xml:space="preserve"> de </w:t>
      </w:r>
      <w:proofErr w:type="spellStart"/>
      <w:r w:rsidRPr="00DC189F">
        <w:rPr>
          <w:rFonts w:ascii="Verdana" w:hAnsi="Verdana"/>
          <w:sz w:val="20"/>
          <w:szCs w:val="20"/>
        </w:rPr>
        <w:t>agua</w:t>
      </w:r>
      <w:proofErr w:type="spellEnd"/>
      <w:r w:rsidRPr="00DC189F">
        <w:rPr>
          <w:rFonts w:ascii="Verdana" w:hAnsi="Verdana"/>
          <w:sz w:val="20"/>
          <w:szCs w:val="20"/>
        </w:rPr>
        <w:t xml:space="preserve"> potable (</w:t>
      </w:r>
      <w:proofErr w:type="spellStart"/>
      <w:r w:rsidRPr="00DC189F">
        <w:rPr>
          <w:rFonts w:ascii="Verdana" w:hAnsi="Verdana"/>
          <w:sz w:val="20"/>
          <w:szCs w:val="20"/>
        </w:rPr>
        <w:t>inciso</w:t>
      </w:r>
      <w:proofErr w:type="spellEnd"/>
      <w:r w:rsidRPr="00DC189F">
        <w:rPr>
          <w:rFonts w:ascii="Verdana" w:hAnsi="Verdana"/>
          <w:sz w:val="20"/>
          <w:szCs w:val="20"/>
        </w:rPr>
        <w:t xml:space="preserve"> d) del </w:t>
      </w:r>
      <w:proofErr w:type="spellStart"/>
      <w:r w:rsidRPr="00DC189F">
        <w:rPr>
          <w:rFonts w:ascii="Verdana" w:hAnsi="Verdana"/>
          <w:sz w:val="20"/>
          <w:szCs w:val="20"/>
        </w:rPr>
        <w:t>párrafo</w:t>
      </w:r>
      <w:proofErr w:type="spellEnd"/>
      <w:r w:rsidRPr="00DC189F">
        <w:rPr>
          <w:rFonts w:ascii="Verdana" w:hAnsi="Verdana"/>
          <w:sz w:val="20"/>
          <w:szCs w:val="20"/>
        </w:rPr>
        <w:t xml:space="preserve"> 284 de la </w:t>
      </w:r>
      <w:proofErr w:type="spellStart"/>
      <w:r w:rsidRPr="00DC189F">
        <w:rPr>
          <w:rFonts w:ascii="Verdana" w:hAnsi="Verdana"/>
          <w:sz w:val="20"/>
          <w:szCs w:val="20"/>
        </w:rPr>
        <w:t>Sentencia</w:t>
      </w:r>
      <w:proofErr w:type="spellEnd"/>
      <w:r w:rsidRPr="00DC189F">
        <w:rPr>
          <w:rFonts w:ascii="Verdana" w:hAnsi="Verdana"/>
          <w:sz w:val="20"/>
          <w:szCs w:val="20"/>
        </w:rPr>
        <w:t>);</w:t>
      </w:r>
    </w:p>
    <w:p w:rsidR="007B5852" w:rsidRPr="00DC189F" w:rsidRDefault="007B5852" w:rsidP="007B5852">
      <w:pPr>
        <w:spacing w:after="0" w:line="240" w:lineRule="auto"/>
        <w:ind w:right="99"/>
        <w:jc w:val="both"/>
        <w:rPr>
          <w:rFonts w:ascii="Verdana" w:hAnsi="Verdana"/>
          <w:sz w:val="20"/>
          <w:szCs w:val="20"/>
          <w:lang w:val="es-MX"/>
        </w:rPr>
      </w:pPr>
    </w:p>
    <w:p w:rsidR="007B5852" w:rsidRPr="00DC189F" w:rsidRDefault="007B5852" w:rsidP="007B5852">
      <w:pPr>
        <w:spacing w:after="0"/>
        <w:ind w:left="567"/>
        <w:jc w:val="both"/>
        <w:rPr>
          <w:rFonts w:ascii="Verdana" w:hAnsi="Verdana"/>
          <w:sz w:val="20"/>
          <w:szCs w:val="20"/>
        </w:rPr>
      </w:pPr>
      <w:r w:rsidRPr="00DC189F">
        <w:rPr>
          <w:rFonts w:ascii="Verdana" w:hAnsi="Verdana"/>
          <w:sz w:val="20"/>
          <w:szCs w:val="20"/>
        </w:rPr>
        <w:t>En los Considerandos 61 a 63 de la Resolución de 16 de febrero de 2021, se explica lo que continúa pendiente de cumplimiento respecto a la presente medida de reparación:</w:t>
      </w:r>
    </w:p>
    <w:p w:rsidR="007B5852" w:rsidRPr="00DC189F" w:rsidRDefault="007B5852" w:rsidP="007B5852">
      <w:pPr>
        <w:spacing w:after="0" w:line="240" w:lineRule="auto"/>
        <w:ind w:right="99"/>
        <w:jc w:val="both"/>
        <w:rPr>
          <w:rFonts w:ascii="Verdana" w:hAnsi="Verdana"/>
          <w:sz w:val="20"/>
          <w:szCs w:val="20"/>
          <w:lang w:val="es-MX"/>
        </w:rPr>
      </w:pPr>
    </w:p>
    <w:p w:rsidR="007B5852" w:rsidRPr="00DC189F" w:rsidRDefault="007B5852" w:rsidP="007B5852">
      <w:pPr>
        <w:spacing w:after="0" w:line="240" w:lineRule="auto"/>
        <w:ind w:left="720" w:right="99"/>
        <w:jc w:val="both"/>
        <w:rPr>
          <w:rFonts w:ascii="Verdana" w:hAnsi="Verdana"/>
          <w:sz w:val="16"/>
          <w:szCs w:val="20"/>
        </w:rPr>
      </w:pPr>
      <w:r w:rsidRPr="00DC189F">
        <w:rPr>
          <w:rFonts w:ascii="Verdana" w:hAnsi="Verdana"/>
          <w:sz w:val="16"/>
          <w:szCs w:val="20"/>
        </w:rPr>
        <w:t xml:space="preserve">61. Este Tribunal reconoce las acciones en infraestructura realizadas por el Estado para dar cumplimiento a la presente medida y suplir de agua potable a las víctimas; sin </w:t>
      </w:r>
      <w:proofErr w:type="gramStart"/>
      <w:r w:rsidRPr="00DC189F">
        <w:rPr>
          <w:rFonts w:ascii="Verdana" w:hAnsi="Verdana"/>
          <w:sz w:val="16"/>
          <w:szCs w:val="20"/>
        </w:rPr>
        <w:t>embargo</w:t>
      </w:r>
      <w:proofErr w:type="gramEnd"/>
      <w:r w:rsidRPr="00DC189F">
        <w:rPr>
          <w:rFonts w:ascii="Verdana" w:hAnsi="Verdana"/>
          <w:sz w:val="16"/>
          <w:szCs w:val="20"/>
        </w:rPr>
        <w:t xml:space="preserve"> hace notar que, en los informes presentados por el Estado, no constan </w:t>
      </w:r>
    </w:p>
    <w:p w:rsidR="007B5852" w:rsidRPr="00DC189F" w:rsidRDefault="007B5852" w:rsidP="007B5852">
      <w:pPr>
        <w:spacing w:after="0" w:line="240" w:lineRule="auto"/>
        <w:ind w:left="720" w:right="99"/>
        <w:jc w:val="both"/>
        <w:rPr>
          <w:rFonts w:ascii="Verdana" w:hAnsi="Verdana"/>
          <w:sz w:val="16"/>
          <w:szCs w:val="20"/>
        </w:rPr>
      </w:pPr>
      <w:r w:rsidRPr="00DC189F">
        <w:rPr>
          <w:rFonts w:ascii="Verdana" w:hAnsi="Verdana"/>
          <w:sz w:val="16"/>
          <w:szCs w:val="20"/>
        </w:rPr>
        <w:t xml:space="preserve">pruebas de potabilidad de agua, información que se considera relevante, ya que en la Resolución del 2017 la Corte destacó que en “los resultados de un análisis de potabilidad del agua de la zona, […] se observó que 98% del agua se encontraba contaminada con la bacteria </w:t>
      </w:r>
      <w:proofErr w:type="spellStart"/>
      <w:r w:rsidRPr="00DC189F">
        <w:rPr>
          <w:rFonts w:ascii="Verdana" w:hAnsi="Verdana"/>
          <w:sz w:val="16"/>
          <w:szCs w:val="20"/>
        </w:rPr>
        <w:t>escherichia</w:t>
      </w:r>
      <w:proofErr w:type="spellEnd"/>
      <w:r w:rsidRPr="00DC189F">
        <w:rPr>
          <w:rFonts w:ascii="Verdana" w:hAnsi="Verdana"/>
          <w:sz w:val="16"/>
          <w:szCs w:val="20"/>
        </w:rPr>
        <w:t xml:space="preserve"> </w:t>
      </w:r>
      <w:proofErr w:type="spellStart"/>
      <w:r w:rsidRPr="00DC189F">
        <w:rPr>
          <w:rFonts w:ascii="Verdana" w:hAnsi="Verdana"/>
          <w:sz w:val="16"/>
          <w:szCs w:val="20"/>
        </w:rPr>
        <w:t>colli</w:t>
      </w:r>
      <w:proofErr w:type="spellEnd"/>
      <w:r w:rsidRPr="00DC189F">
        <w:rPr>
          <w:rFonts w:ascii="Verdana" w:hAnsi="Verdana"/>
          <w:sz w:val="16"/>
          <w:szCs w:val="20"/>
        </w:rPr>
        <w:t>, lo cual impedía que dicha agua fuera potable”</w:t>
      </w:r>
      <w:r>
        <w:rPr>
          <w:rFonts w:ascii="Verdana" w:hAnsi="Verdana"/>
          <w:sz w:val="16"/>
          <w:szCs w:val="20"/>
        </w:rPr>
        <w:t>.</w:t>
      </w:r>
      <w:bookmarkStart w:id="0" w:name="_GoBack"/>
      <w:bookmarkEnd w:id="0"/>
      <w:r w:rsidRPr="00DC189F">
        <w:rPr>
          <w:rFonts w:ascii="Verdana" w:hAnsi="Verdana"/>
          <w:sz w:val="16"/>
          <w:szCs w:val="20"/>
        </w:rPr>
        <w:t xml:space="preserve"> Esta situación crea la necesidad de realizar dicho estudio para declarar como cumplida la presente medida. Por otro lado, la Corte destaca que el Estado no planteó una posible solución para los problemas que se mencionan en el informe técnico que aportó como anexo, relativos a la llegada y abastecimiento del agua en la parte alta de la Colonia </w:t>
      </w:r>
      <w:proofErr w:type="spellStart"/>
      <w:r w:rsidRPr="00DC189F">
        <w:rPr>
          <w:rFonts w:ascii="Verdana" w:hAnsi="Verdana"/>
          <w:sz w:val="16"/>
          <w:szCs w:val="20"/>
        </w:rPr>
        <w:t>Pacux</w:t>
      </w:r>
      <w:proofErr w:type="spellEnd"/>
      <w:r w:rsidRPr="00DC189F">
        <w:rPr>
          <w:rFonts w:ascii="Verdana" w:hAnsi="Verdana"/>
          <w:sz w:val="16"/>
          <w:szCs w:val="20"/>
        </w:rPr>
        <w:t>, de forma tal que los habitantes de esa zona tengan acceso a la disponibilidad óptima del agua potable que requieren.</w:t>
      </w:r>
    </w:p>
    <w:p w:rsidR="007B5852" w:rsidRPr="00DC189F" w:rsidRDefault="007B5852" w:rsidP="007B5852">
      <w:pPr>
        <w:spacing w:after="0" w:line="240" w:lineRule="auto"/>
        <w:ind w:left="720" w:right="99"/>
        <w:jc w:val="both"/>
        <w:rPr>
          <w:rFonts w:ascii="Verdana" w:hAnsi="Verdana"/>
          <w:sz w:val="16"/>
          <w:szCs w:val="20"/>
        </w:rPr>
      </w:pPr>
    </w:p>
    <w:p w:rsidR="007B5852" w:rsidRPr="00DC189F" w:rsidRDefault="007B5852" w:rsidP="007B5852">
      <w:pPr>
        <w:spacing w:after="0" w:line="240" w:lineRule="auto"/>
        <w:ind w:left="720" w:right="99"/>
        <w:jc w:val="both"/>
        <w:rPr>
          <w:rFonts w:ascii="Verdana" w:hAnsi="Verdana"/>
          <w:sz w:val="16"/>
          <w:szCs w:val="20"/>
        </w:rPr>
      </w:pPr>
      <w:r w:rsidRPr="00DC189F">
        <w:rPr>
          <w:rFonts w:ascii="Verdana" w:hAnsi="Verdana"/>
          <w:sz w:val="16"/>
          <w:szCs w:val="20"/>
        </w:rPr>
        <w:t>62. Debido a lo anterior, este Tribunal requiere al Estado que en su próximo informe presente información relativa a estudios de potabilidad del agua en ambos pozos y en el tanque elevado y, además, manifieste qué acciones están siendo realizadas para asegurar la disponibilidad y acceso del agua potable a todas las personas beneficiarias de la medida, especialmente aquellos con viviendas en la parte alta de la comunidad.</w:t>
      </w:r>
    </w:p>
    <w:p w:rsidR="007B5852" w:rsidRPr="00DC189F" w:rsidRDefault="007B5852" w:rsidP="007B5852">
      <w:pPr>
        <w:spacing w:after="0" w:line="240" w:lineRule="auto"/>
        <w:ind w:left="720" w:right="99"/>
        <w:jc w:val="both"/>
        <w:rPr>
          <w:rFonts w:ascii="Verdana" w:hAnsi="Verdana"/>
          <w:sz w:val="16"/>
          <w:szCs w:val="20"/>
        </w:rPr>
      </w:pPr>
    </w:p>
    <w:p w:rsidR="007B5852" w:rsidRPr="00DC189F" w:rsidRDefault="007B5852" w:rsidP="007B5852">
      <w:pPr>
        <w:spacing w:after="0" w:line="240" w:lineRule="auto"/>
        <w:ind w:left="720" w:right="99"/>
        <w:jc w:val="both"/>
        <w:rPr>
          <w:rFonts w:ascii="Verdana" w:hAnsi="Verdana"/>
          <w:sz w:val="16"/>
          <w:szCs w:val="20"/>
        </w:rPr>
      </w:pPr>
      <w:r w:rsidRPr="00DC189F">
        <w:rPr>
          <w:rFonts w:ascii="Verdana" w:hAnsi="Verdana"/>
          <w:sz w:val="16"/>
          <w:szCs w:val="20"/>
        </w:rPr>
        <w:t>63. Por todo lo expuesto, la Corte considera que Guatemala ha dado cumplimiento parcial a las medidas ordenadas en el punto dispositivo sexto, párrafo 284 inciso d) de la Sentencia, relativas a la implementación de un sistema de alcantarillado, tratamiento de aguas negras o residuales y abastecimiento de agua potable.</w:t>
      </w:r>
    </w:p>
    <w:p w:rsidR="007B5852" w:rsidRPr="00DC189F" w:rsidRDefault="007B5852" w:rsidP="007B5852">
      <w:pPr>
        <w:spacing w:after="0" w:line="240" w:lineRule="auto"/>
        <w:ind w:left="720" w:right="99"/>
        <w:jc w:val="both"/>
        <w:rPr>
          <w:rFonts w:ascii="Verdana" w:hAnsi="Verdana"/>
          <w:sz w:val="20"/>
          <w:szCs w:val="20"/>
        </w:rPr>
      </w:pPr>
    </w:p>
    <w:p w:rsidR="007B5852" w:rsidRPr="00DC189F" w:rsidRDefault="007B5852" w:rsidP="007B5852">
      <w:pPr>
        <w:pStyle w:val="Prrafodelista"/>
        <w:numPr>
          <w:ilvl w:val="1"/>
          <w:numId w:val="4"/>
        </w:numPr>
        <w:spacing w:after="0" w:line="240" w:lineRule="auto"/>
        <w:ind w:left="644" w:right="99"/>
        <w:jc w:val="both"/>
        <w:rPr>
          <w:rFonts w:ascii="Verdana" w:hAnsi="Verdana"/>
          <w:sz w:val="20"/>
          <w:szCs w:val="20"/>
        </w:rPr>
      </w:pPr>
      <w:proofErr w:type="spellStart"/>
      <w:r>
        <w:rPr>
          <w:rFonts w:ascii="Verdana" w:hAnsi="Verdana"/>
          <w:sz w:val="20"/>
          <w:szCs w:val="20"/>
        </w:rPr>
        <w:t>R</w:t>
      </w:r>
      <w:r w:rsidRPr="00DC189F">
        <w:rPr>
          <w:rFonts w:ascii="Verdana" w:hAnsi="Verdana"/>
          <w:sz w:val="20"/>
          <w:szCs w:val="20"/>
        </w:rPr>
        <w:t>econstrucción</w:t>
      </w:r>
      <w:proofErr w:type="spellEnd"/>
      <w:r w:rsidRPr="00DC189F">
        <w:rPr>
          <w:rFonts w:ascii="Verdana" w:hAnsi="Verdana"/>
          <w:sz w:val="20"/>
          <w:szCs w:val="20"/>
        </w:rPr>
        <w:t xml:space="preserve"> o </w:t>
      </w:r>
      <w:proofErr w:type="spellStart"/>
      <w:r w:rsidRPr="00DC189F">
        <w:rPr>
          <w:rFonts w:ascii="Verdana" w:hAnsi="Verdana"/>
          <w:sz w:val="20"/>
          <w:szCs w:val="20"/>
        </w:rPr>
        <w:t>mejora</w:t>
      </w:r>
      <w:proofErr w:type="spellEnd"/>
      <w:r w:rsidRPr="00DC189F">
        <w:rPr>
          <w:rFonts w:ascii="Verdana" w:hAnsi="Verdana"/>
          <w:sz w:val="20"/>
          <w:szCs w:val="20"/>
        </w:rPr>
        <w:t xml:space="preserve"> de las </w:t>
      </w:r>
      <w:proofErr w:type="spellStart"/>
      <w:r w:rsidRPr="00DC189F">
        <w:rPr>
          <w:rFonts w:ascii="Verdana" w:hAnsi="Verdana"/>
          <w:sz w:val="20"/>
          <w:szCs w:val="20"/>
        </w:rPr>
        <w:t>escuelas</w:t>
      </w:r>
      <w:proofErr w:type="spellEnd"/>
      <w:r w:rsidRPr="00DC189F">
        <w:rPr>
          <w:rFonts w:ascii="Verdana" w:hAnsi="Verdana"/>
          <w:sz w:val="20"/>
          <w:szCs w:val="20"/>
        </w:rPr>
        <w:t xml:space="preserve"> de </w:t>
      </w:r>
      <w:proofErr w:type="spellStart"/>
      <w:r w:rsidRPr="00DC189F">
        <w:rPr>
          <w:rFonts w:ascii="Verdana" w:hAnsi="Verdana"/>
          <w:sz w:val="20"/>
          <w:szCs w:val="20"/>
        </w:rPr>
        <w:t>nivel</w:t>
      </w:r>
      <w:proofErr w:type="spellEnd"/>
      <w:r w:rsidRPr="00DC189F">
        <w:rPr>
          <w:rFonts w:ascii="Verdana" w:hAnsi="Verdana"/>
          <w:sz w:val="20"/>
          <w:szCs w:val="20"/>
        </w:rPr>
        <w:t xml:space="preserve"> </w:t>
      </w:r>
      <w:proofErr w:type="spellStart"/>
      <w:r w:rsidRPr="00DC189F">
        <w:rPr>
          <w:rFonts w:ascii="Verdana" w:hAnsi="Verdana"/>
          <w:sz w:val="20"/>
          <w:szCs w:val="20"/>
        </w:rPr>
        <w:t>primario</w:t>
      </w:r>
      <w:proofErr w:type="spellEnd"/>
      <w:r w:rsidRPr="00DC189F">
        <w:rPr>
          <w:rFonts w:ascii="Verdana" w:hAnsi="Verdana"/>
          <w:sz w:val="20"/>
          <w:szCs w:val="20"/>
        </w:rPr>
        <w:t xml:space="preserve"> </w:t>
      </w:r>
      <w:proofErr w:type="spellStart"/>
      <w:r w:rsidRPr="00DC189F">
        <w:rPr>
          <w:rFonts w:ascii="Verdana" w:hAnsi="Verdana"/>
          <w:sz w:val="20"/>
          <w:szCs w:val="20"/>
        </w:rPr>
        <w:t>en</w:t>
      </w:r>
      <w:proofErr w:type="spellEnd"/>
      <w:r w:rsidRPr="00DC189F">
        <w:rPr>
          <w:rFonts w:ascii="Verdana" w:hAnsi="Verdana"/>
          <w:sz w:val="20"/>
          <w:szCs w:val="20"/>
        </w:rPr>
        <w:t xml:space="preserve"> la Colonia de </w:t>
      </w:r>
      <w:proofErr w:type="spellStart"/>
      <w:r w:rsidRPr="00DC189F">
        <w:rPr>
          <w:rFonts w:ascii="Verdana" w:hAnsi="Verdana"/>
          <w:sz w:val="20"/>
          <w:szCs w:val="20"/>
        </w:rPr>
        <w:t>Pacux</w:t>
      </w:r>
      <w:proofErr w:type="spellEnd"/>
      <w:r w:rsidRPr="00DC189F">
        <w:rPr>
          <w:rFonts w:ascii="Verdana" w:hAnsi="Verdana"/>
          <w:sz w:val="20"/>
          <w:szCs w:val="20"/>
        </w:rPr>
        <w:t xml:space="preserve"> (</w:t>
      </w:r>
      <w:proofErr w:type="spellStart"/>
      <w:r w:rsidRPr="00DC189F">
        <w:rPr>
          <w:rFonts w:ascii="Verdana" w:hAnsi="Verdana"/>
          <w:sz w:val="20"/>
          <w:szCs w:val="20"/>
        </w:rPr>
        <w:t>inciso</w:t>
      </w:r>
      <w:proofErr w:type="spellEnd"/>
      <w:r w:rsidRPr="00DC189F">
        <w:rPr>
          <w:rFonts w:ascii="Verdana" w:hAnsi="Verdana"/>
          <w:sz w:val="20"/>
          <w:szCs w:val="20"/>
        </w:rPr>
        <w:t xml:space="preserve"> e) del </w:t>
      </w:r>
      <w:proofErr w:type="spellStart"/>
      <w:r w:rsidRPr="00DC189F">
        <w:rPr>
          <w:rFonts w:ascii="Verdana" w:hAnsi="Verdana"/>
          <w:sz w:val="20"/>
          <w:szCs w:val="20"/>
        </w:rPr>
        <w:t>párrafo</w:t>
      </w:r>
      <w:proofErr w:type="spellEnd"/>
      <w:r w:rsidRPr="00DC189F">
        <w:rPr>
          <w:rFonts w:ascii="Verdana" w:hAnsi="Verdana"/>
          <w:sz w:val="20"/>
          <w:szCs w:val="20"/>
        </w:rPr>
        <w:t xml:space="preserve"> 284 de la </w:t>
      </w:r>
      <w:proofErr w:type="spellStart"/>
      <w:r w:rsidRPr="00DC189F">
        <w:rPr>
          <w:rFonts w:ascii="Verdana" w:hAnsi="Verdana"/>
          <w:sz w:val="20"/>
          <w:szCs w:val="20"/>
        </w:rPr>
        <w:t>Sentencia</w:t>
      </w:r>
      <w:proofErr w:type="spellEnd"/>
      <w:r w:rsidRPr="00DC189F">
        <w:rPr>
          <w:rFonts w:ascii="Verdana" w:hAnsi="Verdana"/>
          <w:sz w:val="20"/>
          <w:szCs w:val="20"/>
        </w:rPr>
        <w:t>), y</w:t>
      </w:r>
    </w:p>
    <w:p w:rsidR="007B5852" w:rsidRPr="00DC189F" w:rsidRDefault="007B5852" w:rsidP="007B5852">
      <w:pPr>
        <w:spacing w:after="0" w:line="240" w:lineRule="auto"/>
        <w:ind w:right="99"/>
        <w:jc w:val="both"/>
        <w:rPr>
          <w:rFonts w:ascii="Verdana" w:hAnsi="Verdana"/>
          <w:sz w:val="20"/>
          <w:szCs w:val="20"/>
          <w:lang w:val="es-MX"/>
        </w:rPr>
      </w:pPr>
    </w:p>
    <w:p w:rsidR="007B5852" w:rsidRPr="00DC189F" w:rsidRDefault="007B5852" w:rsidP="007B5852">
      <w:pPr>
        <w:spacing w:after="0"/>
        <w:ind w:left="720"/>
        <w:jc w:val="both"/>
        <w:rPr>
          <w:rFonts w:ascii="Verdana" w:hAnsi="Verdana"/>
          <w:sz w:val="20"/>
          <w:szCs w:val="20"/>
        </w:rPr>
      </w:pPr>
      <w:r w:rsidRPr="00DC189F">
        <w:rPr>
          <w:rFonts w:ascii="Verdana" w:hAnsi="Verdana"/>
          <w:sz w:val="20"/>
          <w:szCs w:val="20"/>
        </w:rPr>
        <w:t>En los Considerandos 71 a 72 de la Resolución de 16 de febrero de 2021, se explica lo que continúa pendiente de cumplimiento respecto a la presente medida de reparación:</w:t>
      </w:r>
    </w:p>
    <w:p w:rsidR="007B5852" w:rsidRPr="00DC189F" w:rsidRDefault="007B5852" w:rsidP="007B5852">
      <w:pPr>
        <w:spacing w:after="0" w:line="240" w:lineRule="auto"/>
        <w:ind w:left="720" w:right="99"/>
        <w:jc w:val="both"/>
        <w:rPr>
          <w:rFonts w:ascii="Verdana" w:hAnsi="Verdana"/>
          <w:sz w:val="20"/>
          <w:szCs w:val="20"/>
        </w:rPr>
      </w:pPr>
    </w:p>
    <w:p w:rsidR="007B5852" w:rsidRPr="00DC189F" w:rsidRDefault="007B5852" w:rsidP="007B5852">
      <w:pPr>
        <w:spacing w:after="0" w:line="240" w:lineRule="auto"/>
        <w:ind w:left="720" w:right="99"/>
        <w:jc w:val="both"/>
        <w:rPr>
          <w:rFonts w:ascii="Verdana" w:hAnsi="Verdana"/>
          <w:sz w:val="16"/>
          <w:szCs w:val="20"/>
        </w:rPr>
      </w:pPr>
      <w:r w:rsidRPr="00DC189F">
        <w:rPr>
          <w:rFonts w:ascii="Verdana" w:hAnsi="Verdana"/>
          <w:sz w:val="16"/>
          <w:szCs w:val="20"/>
        </w:rPr>
        <w:lastRenderedPageBreak/>
        <w:t>71. Tomando en cuenta la situación constatada en la visita de supervisión efectuada en el 2017 (supra Considerandos 66 y 67), la Corte destaca como positivo que el Estado realizó las referidas mejoras en la infraestructura de los distintos módulos de la escuela y el muro perimetral. Sin embargo, este Tribunal recuerda que en la referida Resolución de 2017 hizo notar las objeciones de los representantes y de algunos miembros de la comunidad respecto “a los pocos escritorios en la escuela primaria”, sobre lo cual el Estado no presentó información. También, recuerda las indicaciones de que “solo había un baño para todos los alumnos tanto de la escuela primaria como de la escuela secundaria, y que ese mismo baño es el utilizado por el personal docente”. Al respecto, en el Considerando 32 de dicha Resolución la Corte concluyó que existía una “falta de servicios sanitarios suficientes”. Si bien sobre este punto en el informe técnico se indicaron las obras relativas a la sustitución de los lavamanos, los inodoros y puertas que se encontraban “en los módulos de baños”, en la información estatal no consta si se dotó a la escuela de servicios sanitarios y lavamanos suficientes, acorde al número de estudiantes y personal docente, o si se mantuvo el número que se tenía.</w:t>
      </w:r>
    </w:p>
    <w:p w:rsidR="007B5852" w:rsidRPr="00DC189F" w:rsidRDefault="007B5852" w:rsidP="007B5852">
      <w:pPr>
        <w:spacing w:after="0" w:line="240" w:lineRule="auto"/>
        <w:ind w:left="720" w:right="99"/>
        <w:jc w:val="both"/>
        <w:rPr>
          <w:rFonts w:ascii="Verdana" w:hAnsi="Verdana"/>
          <w:sz w:val="16"/>
          <w:szCs w:val="20"/>
        </w:rPr>
      </w:pPr>
    </w:p>
    <w:p w:rsidR="007B5852" w:rsidRPr="00DC189F" w:rsidRDefault="007B5852" w:rsidP="007B5852">
      <w:pPr>
        <w:spacing w:after="0" w:line="240" w:lineRule="auto"/>
        <w:ind w:left="720" w:right="99"/>
        <w:jc w:val="both"/>
        <w:rPr>
          <w:rFonts w:ascii="Verdana" w:hAnsi="Verdana"/>
          <w:sz w:val="16"/>
          <w:szCs w:val="20"/>
          <w:lang w:val="es-MX"/>
        </w:rPr>
      </w:pPr>
      <w:r w:rsidRPr="00DC189F">
        <w:rPr>
          <w:rFonts w:ascii="Verdana" w:hAnsi="Verdana"/>
          <w:sz w:val="16"/>
          <w:szCs w:val="20"/>
        </w:rPr>
        <w:t>72. Por consiguiente, para valorar el cumplimiento total de la medida, la Corte requiere que el Estado en su próximo informe presente dicha información respecto a la disponibilidad de escritorios y servicios sanitarios y lavamanos suficientes acorde al número de usuarios (estudiantes y personal docente). En razón de lo anterior, este Tribunal considera que el Estado ha dado cumplimiento parcial a la presente medida de reparación.</w:t>
      </w:r>
    </w:p>
    <w:p w:rsidR="007B5852" w:rsidRDefault="007B5852" w:rsidP="007B5852">
      <w:pPr>
        <w:spacing w:after="0" w:line="240" w:lineRule="auto"/>
        <w:ind w:right="99"/>
        <w:jc w:val="both"/>
        <w:rPr>
          <w:rFonts w:ascii="Verdana" w:hAnsi="Verdana"/>
          <w:sz w:val="16"/>
          <w:szCs w:val="20"/>
          <w:lang w:val="es-MX"/>
        </w:rPr>
      </w:pPr>
    </w:p>
    <w:p w:rsidR="007B5852" w:rsidRPr="00DC189F" w:rsidRDefault="007B5852" w:rsidP="007B5852">
      <w:pPr>
        <w:pStyle w:val="Prrafodelista"/>
        <w:numPr>
          <w:ilvl w:val="0"/>
          <w:numId w:val="2"/>
        </w:numPr>
        <w:spacing w:after="0" w:line="240" w:lineRule="auto"/>
        <w:ind w:right="99"/>
        <w:jc w:val="both"/>
        <w:rPr>
          <w:rFonts w:ascii="Verdana" w:hAnsi="Verdana" w:cs="Arial"/>
          <w:sz w:val="20"/>
          <w:szCs w:val="20"/>
          <w:lang w:val="es-MX"/>
        </w:rPr>
      </w:pPr>
      <w:r w:rsidRPr="00DC189F">
        <w:rPr>
          <w:rFonts w:ascii="Verdana" w:hAnsi="Verdana"/>
          <w:sz w:val="20"/>
          <w:szCs w:val="20"/>
          <w:lang w:val="es-MX"/>
        </w:rPr>
        <w:t>Pagar las cantidades fijadas en los</w:t>
      </w:r>
      <w:r>
        <w:rPr>
          <w:rFonts w:ascii="Verdana" w:hAnsi="Verdana"/>
          <w:sz w:val="20"/>
          <w:szCs w:val="20"/>
          <w:lang w:val="es-MX"/>
        </w:rPr>
        <w:t xml:space="preserve"> párrafos 309</w:t>
      </w:r>
      <w:r w:rsidRPr="00DC189F">
        <w:rPr>
          <w:rFonts w:ascii="Verdana" w:hAnsi="Verdana"/>
          <w:sz w:val="20"/>
          <w:szCs w:val="20"/>
          <w:lang w:val="es-MX"/>
        </w:rPr>
        <w:t xml:space="preserve"> de la presente Sentencia, por concepto de indemnizaciones por daños materiales e inmateriales en los términos de los referidos párrafos y de los párrafos 318 a 323 de este Fallo.  </w:t>
      </w:r>
    </w:p>
    <w:p w:rsidR="007B5852" w:rsidRPr="00DC189F" w:rsidRDefault="007B5852" w:rsidP="007B5852">
      <w:pPr>
        <w:spacing w:after="0" w:line="240" w:lineRule="auto"/>
        <w:ind w:right="99"/>
        <w:jc w:val="both"/>
        <w:rPr>
          <w:rFonts w:ascii="Verdana" w:hAnsi="Verdana"/>
          <w:sz w:val="16"/>
          <w:szCs w:val="20"/>
          <w:lang w:val="es-MX"/>
        </w:rPr>
      </w:pPr>
    </w:p>
    <w:p w:rsidR="007B5852" w:rsidRPr="00DC189F" w:rsidRDefault="007B5852" w:rsidP="007B5852">
      <w:pPr>
        <w:spacing w:after="0"/>
        <w:jc w:val="both"/>
        <w:rPr>
          <w:rFonts w:ascii="Verdana" w:hAnsi="Verdana"/>
          <w:sz w:val="20"/>
          <w:szCs w:val="20"/>
        </w:rPr>
      </w:pPr>
      <w:r>
        <w:rPr>
          <w:rFonts w:ascii="Verdana" w:hAnsi="Verdana"/>
          <w:sz w:val="20"/>
          <w:szCs w:val="20"/>
        </w:rPr>
        <w:t>En el</w:t>
      </w:r>
      <w:r w:rsidRPr="00DC189F">
        <w:rPr>
          <w:rFonts w:ascii="Verdana" w:hAnsi="Verdana"/>
          <w:sz w:val="20"/>
          <w:szCs w:val="20"/>
        </w:rPr>
        <w:t xml:space="preserve"> C</w:t>
      </w:r>
      <w:r>
        <w:rPr>
          <w:rFonts w:ascii="Verdana" w:hAnsi="Verdana"/>
          <w:sz w:val="20"/>
          <w:szCs w:val="20"/>
        </w:rPr>
        <w:t>onsiderando</w:t>
      </w:r>
      <w:r w:rsidRPr="00DC189F">
        <w:rPr>
          <w:rFonts w:ascii="Verdana" w:hAnsi="Verdana"/>
          <w:sz w:val="20"/>
          <w:szCs w:val="20"/>
        </w:rPr>
        <w:t xml:space="preserve"> 97 de la Resolución de 16 de febrero de 2021, se explica lo que continúa pendiente de cumplimiento respecto a la presente medida de reparación:</w:t>
      </w:r>
    </w:p>
    <w:p w:rsidR="007B5852" w:rsidRPr="00DC189F" w:rsidRDefault="007B5852" w:rsidP="007B5852">
      <w:pPr>
        <w:spacing w:after="0" w:line="240" w:lineRule="auto"/>
        <w:ind w:left="720" w:right="99"/>
        <w:jc w:val="both"/>
        <w:rPr>
          <w:rFonts w:ascii="Verdana" w:hAnsi="Verdana"/>
          <w:sz w:val="20"/>
          <w:szCs w:val="20"/>
        </w:rPr>
      </w:pPr>
    </w:p>
    <w:p w:rsidR="007B5852" w:rsidRPr="00093D5A" w:rsidRDefault="007B5852" w:rsidP="007B5852">
      <w:pPr>
        <w:spacing w:after="0" w:line="240" w:lineRule="auto"/>
        <w:ind w:left="720" w:right="99"/>
        <w:jc w:val="both"/>
        <w:rPr>
          <w:rFonts w:ascii="Verdana" w:hAnsi="Verdana"/>
          <w:sz w:val="16"/>
          <w:szCs w:val="20"/>
          <w:lang w:val="es-MX"/>
        </w:rPr>
      </w:pPr>
      <w:r w:rsidRPr="00093D5A">
        <w:rPr>
          <w:rFonts w:ascii="Verdana" w:hAnsi="Verdana"/>
          <w:sz w:val="16"/>
          <w:szCs w:val="20"/>
        </w:rPr>
        <w:t>97. La Corte considera que el Estado dio cumplimiento parcial a la medida de pago de indemnizaciones ordenada en el punto dispositivo noveno de la Sentencia, debido a que efectuó el pago a 74 víctimas. Respecto a las 12 víctimas que ya recibieron el pago, queda pendiente evaluar su cumplimiento conforme al párrafo anterior respecto a las discrepancias entre el monto consignado en el finiquito y el recibido por ellas relacionadas con el tipo de cambio utilizado. Asimismo, continúa pendiente el cumplimiento del pago indemnizatorio por daño material e inmaterial a favor de las 308 víctimas restantes, así como como los montos ordenados respecto de las 17 víctimas de desaparición forzada, lo cual implica que está pendiente el pago respecto del 82% de las víctimas. De igual modo, no ha pagado las indemnizaciones dispuestas en el párrafo 309 incisos c), d) y e) del Fallo. Aun cuando Guatemala explicó los criterios de priorización que utilizó en el 2019 para escoger a cuáles víctimas pagar ese año, no indicó cuándo tiene programado cumplir con esta reparación para la mayoría de las víctimas.</w:t>
      </w:r>
    </w:p>
    <w:p w:rsidR="007B5852" w:rsidRPr="00DC189F" w:rsidRDefault="007B5852" w:rsidP="007B5852">
      <w:pPr>
        <w:pStyle w:val="Prrafodelista"/>
        <w:rPr>
          <w:rFonts w:ascii="Verdana" w:hAnsi="Verdana"/>
          <w:sz w:val="20"/>
          <w:szCs w:val="20"/>
          <w:lang w:val="es-MX"/>
        </w:rPr>
      </w:pPr>
    </w:p>
    <w:p w:rsidR="00612251" w:rsidRPr="00612251" w:rsidRDefault="00612251">
      <w:pPr>
        <w:rPr>
          <w:b/>
        </w:rPr>
      </w:pPr>
    </w:p>
    <w:sectPr w:rsidR="00612251" w:rsidRPr="006122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B294D"/>
    <w:multiLevelType w:val="hybridMultilevel"/>
    <w:tmpl w:val="6B8C3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F60159"/>
    <w:multiLevelType w:val="hybridMultilevel"/>
    <w:tmpl w:val="CD001DE0"/>
    <w:lvl w:ilvl="0" w:tplc="89C4A76E">
      <w:start w:val="1"/>
      <w:numFmt w:val="bullet"/>
      <w:lvlText w:val="-"/>
      <w:lvlJc w:val="left"/>
      <w:pPr>
        <w:ind w:left="1080" w:hanging="360"/>
      </w:pPr>
      <w:rPr>
        <w:rFonts w:ascii="Verdana" w:eastAsiaTheme="minorHAnsi" w:hAnsi="Verdana" w:cstheme="minorBid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15:restartNumberingAfterBreak="0">
    <w:nsid w:val="7A1951E4"/>
    <w:multiLevelType w:val="hybridMultilevel"/>
    <w:tmpl w:val="A43E56B6"/>
    <w:lvl w:ilvl="0" w:tplc="140A000F">
      <w:start w:val="1"/>
      <w:numFmt w:val="decimal"/>
      <w:lvlText w:val="%1."/>
      <w:lvlJc w:val="left"/>
      <w:pPr>
        <w:ind w:left="360" w:hanging="360"/>
      </w:pPr>
      <w:rPr>
        <w:rFont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5A"/>
    <w:rsid w:val="00006092"/>
    <w:rsid w:val="0051411B"/>
    <w:rsid w:val="00612251"/>
    <w:rsid w:val="007B5852"/>
    <w:rsid w:val="008B293A"/>
    <w:rsid w:val="0093230A"/>
    <w:rsid w:val="00932D5A"/>
    <w:rsid w:val="00CA5151"/>
    <w:rsid w:val="00D4245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820C"/>
  <w15:docId w15:val="{DBCE8312-6E7F-4E6A-A4CD-6D2059DD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932D5A"/>
    <w:pPr>
      <w:spacing w:after="0" w:line="240" w:lineRule="auto"/>
      <w:jc w:val="center"/>
    </w:pPr>
    <w:rPr>
      <w:rFonts w:ascii="Verdana" w:eastAsia="Times New Roman" w:hAnsi="Verdana" w:cs="Times New Roman"/>
      <w:b/>
      <w:sz w:val="20"/>
      <w:szCs w:val="20"/>
      <w:lang w:val="es-MX"/>
    </w:rPr>
  </w:style>
  <w:style w:type="character" w:customStyle="1" w:styleId="TtuloCar">
    <w:name w:val="Título Car"/>
    <w:basedOn w:val="Fuentedeprrafopredeter"/>
    <w:link w:val="Ttulo"/>
    <w:uiPriority w:val="99"/>
    <w:rsid w:val="00932D5A"/>
    <w:rPr>
      <w:rFonts w:ascii="Verdana" w:eastAsia="Times New Roman" w:hAnsi="Verdana" w:cs="Times New Roman"/>
      <w:b/>
      <w:sz w:val="20"/>
      <w:szCs w:val="20"/>
      <w:lang w:val="es-MX"/>
    </w:rPr>
  </w:style>
  <w:style w:type="paragraph" w:styleId="Prrafodelista">
    <w:name w:val="List Paragraph"/>
    <w:basedOn w:val="Normal"/>
    <w:uiPriority w:val="34"/>
    <w:qFormat/>
    <w:rsid w:val="00932D5A"/>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5415</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3</cp:revision>
  <cp:lastPrinted>2018-06-26T19:21:00Z</cp:lastPrinted>
  <dcterms:created xsi:type="dcterms:W3CDTF">2022-01-06T17:27:00Z</dcterms:created>
  <dcterms:modified xsi:type="dcterms:W3CDTF">2022-01-06T17:29:00Z</dcterms:modified>
</cp:coreProperties>
</file>