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9C01" w14:textId="77777777" w:rsidR="00F209C0" w:rsidRPr="00F209C0" w:rsidRDefault="00F209C0" w:rsidP="00F209C0">
      <w:pPr>
        <w:pStyle w:val="Ttulo4"/>
        <w:spacing w:line="240" w:lineRule="auto"/>
        <w:jc w:val="center"/>
        <w:rPr>
          <w:rFonts w:ascii="Verdana" w:hAnsi="Verdana"/>
          <w:caps/>
          <w:smallCaps/>
          <w:sz w:val="20"/>
          <w:u w:val="single"/>
        </w:rPr>
      </w:pPr>
      <w:r w:rsidRPr="00EF77F8">
        <w:rPr>
          <w:rFonts w:ascii="Verdana" w:hAnsi="Verdana"/>
          <w:sz w:val="20"/>
          <w:u w:val="single"/>
          <w:lang w:val="en-US"/>
        </w:rPr>
        <w:t xml:space="preserve">Caso Myrna Mack Chang </w:t>
      </w:r>
      <w:r w:rsidRPr="00EF77F8">
        <w:rPr>
          <w:rFonts w:ascii="Verdana" w:hAnsi="Verdana"/>
          <w:i/>
          <w:sz w:val="20"/>
          <w:u w:val="single"/>
          <w:lang w:val="en-US"/>
        </w:rPr>
        <w:t>Vs.</w:t>
      </w:r>
      <w:r w:rsidRPr="00EF77F8">
        <w:rPr>
          <w:rFonts w:ascii="Verdana" w:hAnsi="Verdana"/>
          <w:sz w:val="20"/>
          <w:u w:val="single"/>
          <w:lang w:val="en-US"/>
        </w:rPr>
        <w:t xml:space="preserve"> </w:t>
      </w:r>
      <w:r w:rsidRPr="00F209C0">
        <w:rPr>
          <w:rFonts w:ascii="Verdana" w:hAnsi="Verdana"/>
          <w:sz w:val="20"/>
          <w:u w:val="single"/>
        </w:rPr>
        <w:t>Guatemala: reparaciones declaradas cumplidas</w:t>
      </w:r>
    </w:p>
    <w:p w14:paraId="1484B532" w14:textId="77777777" w:rsidR="006E7F48" w:rsidRPr="00F209C0" w:rsidRDefault="00BB6513">
      <w:pPr>
        <w:rPr>
          <w:rFonts w:ascii="Verdana" w:hAnsi="Verdana"/>
          <w:sz w:val="20"/>
          <w:szCs w:val="20"/>
          <w:lang w:val="es-MX"/>
        </w:rPr>
      </w:pPr>
    </w:p>
    <w:p w14:paraId="4228090B" w14:textId="77777777" w:rsidR="00F209C0" w:rsidRDefault="00F209C0" w:rsidP="00F209C0">
      <w:pPr>
        <w:pStyle w:val="Textoindependiente"/>
        <w:numPr>
          <w:ilvl w:val="0"/>
          <w:numId w:val="3"/>
        </w:numPr>
        <w:ind w:left="360"/>
        <w:rPr>
          <w:rFonts w:ascii="Verdana" w:hAnsi="Verdana"/>
          <w:sz w:val="20"/>
        </w:rPr>
      </w:pPr>
      <w:r>
        <w:rPr>
          <w:rFonts w:ascii="Verdana" w:hAnsi="Verdana"/>
          <w:sz w:val="20"/>
        </w:rPr>
        <w:t>R</w:t>
      </w:r>
      <w:r w:rsidRPr="00F209C0">
        <w:rPr>
          <w:rFonts w:ascii="Verdana" w:hAnsi="Verdana"/>
          <w:sz w:val="20"/>
        </w:rPr>
        <w:t>emover todos los obstáculos y mecanismos de hecho y derecho que mantienen en la impunidad el presente caso, otorgar las garantías de seguridad suficientes a las autoridades judiciales, fiscales, testigos, operadores de justicia y a los familiares de Myrna Mack Chang y utilizar todas las medidas a su alcance para diligenciar el proceso, en los términos de los párrafos 276 y 277 de la presente Sentencia.</w:t>
      </w:r>
    </w:p>
    <w:p w14:paraId="14EFC896" w14:textId="77777777" w:rsidR="00F209C0" w:rsidRDefault="00F209C0" w:rsidP="00F209C0">
      <w:pPr>
        <w:pStyle w:val="Textoindependiente"/>
        <w:ind w:left="360" w:hanging="360"/>
        <w:rPr>
          <w:rFonts w:ascii="Verdana" w:hAnsi="Verdana"/>
          <w:sz w:val="20"/>
        </w:rPr>
      </w:pPr>
    </w:p>
    <w:p w14:paraId="4DEED0F2" w14:textId="77777777" w:rsidR="00F209C0" w:rsidRDefault="00F209C0" w:rsidP="00F209C0">
      <w:pPr>
        <w:pStyle w:val="Textoindependiente"/>
        <w:numPr>
          <w:ilvl w:val="0"/>
          <w:numId w:val="3"/>
        </w:numPr>
        <w:ind w:left="360"/>
        <w:rPr>
          <w:rFonts w:ascii="Verdana" w:hAnsi="Verdana"/>
          <w:sz w:val="20"/>
        </w:rPr>
      </w:pPr>
      <w:r>
        <w:rPr>
          <w:rFonts w:ascii="Verdana" w:hAnsi="Verdana"/>
          <w:sz w:val="20"/>
        </w:rPr>
        <w:t>P</w:t>
      </w:r>
      <w:r w:rsidRPr="00F209C0">
        <w:rPr>
          <w:rFonts w:ascii="Verdana" w:hAnsi="Verdana"/>
          <w:sz w:val="20"/>
        </w:rPr>
        <w:t>ublicar dentro del plazo de tres meses a partir de la notificación de la presente Sentencia, al menos por una vez, en el Diario Oficial y en otro diario de circulación nacional, los hechos probados contenidos en los párrafos 134; 134.1 a 134.8; 134.10 a 134.19; 134.26; 134.86 a 134.90; y 134.95 a 134.106, sin las notas al pie, y los puntos resolutivos del 1 a 12, en los términos del párrafo 280 de la presente Sentencia.</w:t>
      </w:r>
    </w:p>
    <w:p w14:paraId="5DD2C56E" w14:textId="77777777" w:rsidR="00F209C0" w:rsidRPr="00F209C0" w:rsidRDefault="00F209C0" w:rsidP="00F209C0">
      <w:pPr>
        <w:pStyle w:val="Prrafodelista"/>
        <w:spacing w:after="0" w:line="240" w:lineRule="auto"/>
        <w:ind w:left="360" w:hanging="360"/>
        <w:rPr>
          <w:rFonts w:ascii="Verdana" w:hAnsi="Verdana"/>
          <w:sz w:val="20"/>
          <w:lang w:val="es-MX"/>
        </w:rPr>
      </w:pPr>
    </w:p>
    <w:p w14:paraId="79ECEDEA" w14:textId="77777777" w:rsidR="00F209C0" w:rsidRDefault="00F209C0" w:rsidP="00F209C0">
      <w:pPr>
        <w:pStyle w:val="Textoindependiente"/>
        <w:numPr>
          <w:ilvl w:val="0"/>
          <w:numId w:val="3"/>
        </w:numPr>
        <w:ind w:left="360"/>
        <w:rPr>
          <w:rFonts w:ascii="Verdana" w:hAnsi="Verdana"/>
          <w:sz w:val="20"/>
        </w:rPr>
      </w:pPr>
      <w:r w:rsidRPr="00F209C0">
        <w:rPr>
          <w:rFonts w:ascii="Verdana" w:hAnsi="Verdana"/>
          <w:sz w:val="20"/>
        </w:rPr>
        <w:t>Realizar un acto público de reconocimiento de su responsabilidad en relación con los hechos de este caso y de desagravio a la memoria de Myrna Mack Chang y a sus familiares, en presencia de las más altas autoridades del Estado, en los términos del párrafo 278 de la presente Sentencia.</w:t>
      </w:r>
    </w:p>
    <w:p w14:paraId="11702BDD" w14:textId="77777777" w:rsidR="00F209C0" w:rsidRPr="00F209C0" w:rsidRDefault="00F209C0" w:rsidP="00F209C0">
      <w:pPr>
        <w:pStyle w:val="Prrafodelista"/>
        <w:spacing w:after="0" w:line="240" w:lineRule="auto"/>
        <w:ind w:left="360" w:hanging="360"/>
        <w:rPr>
          <w:rFonts w:ascii="Verdana" w:hAnsi="Verdana"/>
          <w:sz w:val="20"/>
          <w:lang w:val="es-MX"/>
        </w:rPr>
      </w:pPr>
    </w:p>
    <w:p w14:paraId="174F6886" w14:textId="77777777" w:rsidR="00F209C0" w:rsidRDefault="00F209C0" w:rsidP="00F209C0">
      <w:pPr>
        <w:pStyle w:val="Textoindependiente"/>
        <w:numPr>
          <w:ilvl w:val="0"/>
          <w:numId w:val="3"/>
        </w:numPr>
        <w:ind w:left="360"/>
        <w:rPr>
          <w:rFonts w:ascii="Verdana" w:hAnsi="Verdana"/>
          <w:sz w:val="20"/>
        </w:rPr>
      </w:pPr>
      <w:r w:rsidRPr="00F209C0">
        <w:rPr>
          <w:rFonts w:ascii="Verdana" w:hAnsi="Verdana"/>
          <w:sz w:val="20"/>
        </w:rPr>
        <w:t>Honrar públicamente la memoria de José Mérida Escobar, investigador policial, en relación con los hechos del presente caso, en los términos del párrafo 279 de la presente Sentencia.</w:t>
      </w:r>
    </w:p>
    <w:p w14:paraId="5C6988BC" w14:textId="77777777" w:rsidR="00F209C0" w:rsidRPr="00F209C0" w:rsidRDefault="00F209C0" w:rsidP="00F209C0">
      <w:pPr>
        <w:pStyle w:val="Prrafodelista"/>
        <w:spacing w:after="0" w:line="240" w:lineRule="auto"/>
        <w:ind w:left="360" w:hanging="360"/>
        <w:rPr>
          <w:rFonts w:ascii="Verdana" w:hAnsi="Verdana"/>
          <w:sz w:val="20"/>
          <w:lang w:val="es-MX"/>
        </w:rPr>
      </w:pPr>
    </w:p>
    <w:p w14:paraId="57AF8D01" w14:textId="77777777" w:rsidR="00F209C0" w:rsidRDefault="00F209C0" w:rsidP="00F209C0">
      <w:pPr>
        <w:pStyle w:val="Textoindependiente"/>
        <w:numPr>
          <w:ilvl w:val="0"/>
          <w:numId w:val="3"/>
        </w:numPr>
        <w:ind w:left="360"/>
        <w:rPr>
          <w:rFonts w:ascii="Verdana" w:hAnsi="Verdana"/>
          <w:sz w:val="20"/>
        </w:rPr>
      </w:pPr>
      <w:r w:rsidRPr="00F209C0">
        <w:rPr>
          <w:rFonts w:ascii="Verdana" w:hAnsi="Verdana"/>
          <w:sz w:val="20"/>
        </w:rPr>
        <w:t>Incluir, dentro de los cursos de formación de los miembros de las fuerzas armadas y de la policía, y de organismos de seguridad, capacitación en materia de derechos humanos y Derecho Internacional Humanitario, en los términos del párrafo 282</w:t>
      </w:r>
      <w:r w:rsidRPr="00F209C0">
        <w:rPr>
          <w:rFonts w:ascii="Verdana" w:hAnsi="Verdana"/>
          <w:b/>
          <w:sz w:val="20"/>
        </w:rPr>
        <w:t xml:space="preserve"> </w:t>
      </w:r>
      <w:r w:rsidRPr="00F209C0">
        <w:rPr>
          <w:rFonts w:ascii="Verdana" w:hAnsi="Verdana"/>
          <w:sz w:val="20"/>
        </w:rPr>
        <w:t>de la presente Sentencia.</w:t>
      </w:r>
    </w:p>
    <w:p w14:paraId="04C1511C" w14:textId="77777777" w:rsidR="00F209C0" w:rsidRPr="00F209C0" w:rsidRDefault="00F209C0" w:rsidP="00F209C0">
      <w:pPr>
        <w:pStyle w:val="Prrafodelista"/>
        <w:spacing w:after="0" w:line="240" w:lineRule="auto"/>
        <w:ind w:left="360" w:hanging="360"/>
        <w:rPr>
          <w:rFonts w:ascii="Verdana" w:hAnsi="Verdana"/>
          <w:sz w:val="20"/>
          <w:lang w:val="es-MX"/>
        </w:rPr>
      </w:pPr>
    </w:p>
    <w:p w14:paraId="07514850" w14:textId="77777777" w:rsidR="00F209C0" w:rsidRDefault="00F209C0" w:rsidP="00F209C0">
      <w:pPr>
        <w:pStyle w:val="Textoindependiente"/>
        <w:numPr>
          <w:ilvl w:val="0"/>
          <w:numId w:val="3"/>
        </w:numPr>
        <w:ind w:left="360"/>
        <w:rPr>
          <w:rFonts w:ascii="Verdana" w:hAnsi="Verdana"/>
          <w:sz w:val="20"/>
        </w:rPr>
      </w:pPr>
      <w:r w:rsidRPr="00F209C0">
        <w:rPr>
          <w:rFonts w:ascii="Verdana" w:hAnsi="Verdana"/>
          <w:sz w:val="20"/>
        </w:rPr>
        <w:t>Establecer una beca de estudios, con el nombre de Myrna Mack Chang, en los términos del párrafo 285 de la presente Sentencia.</w:t>
      </w:r>
    </w:p>
    <w:p w14:paraId="544FCDD3" w14:textId="77777777" w:rsidR="00F209C0" w:rsidRPr="00F209C0" w:rsidRDefault="00F209C0" w:rsidP="00F209C0">
      <w:pPr>
        <w:pStyle w:val="Prrafodelista"/>
        <w:spacing w:after="0" w:line="240" w:lineRule="auto"/>
        <w:ind w:left="360" w:hanging="360"/>
        <w:rPr>
          <w:rFonts w:ascii="Verdana" w:hAnsi="Verdana"/>
          <w:sz w:val="20"/>
          <w:lang w:val="es-MX"/>
        </w:rPr>
      </w:pPr>
    </w:p>
    <w:p w14:paraId="1497EA4D" w14:textId="77777777" w:rsidR="00F209C0" w:rsidRDefault="00F209C0" w:rsidP="00F209C0">
      <w:pPr>
        <w:pStyle w:val="Textoindependiente"/>
        <w:numPr>
          <w:ilvl w:val="0"/>
          <w:numId w:val="3"/>
        </w:numPr>
        <w:ind w:left="360"/>
        <w:rPr>
          <w:rFonts w:ascii="Verdana" w:hAnsi="Verdana"/>
          <w:sz w:val="20"/>
        </w:rPr>
      </w:pPr>
      <w:r w:rsidRPr="00F209C0">
        <w:rPr>
          <w:rFonts w:ascii="Verdana" w:hAnsi="Verdana"/>
          <w:sz w:val="20"/>
        </w:rPr>
        <w:t>Darle el nombre de Myrna Mack Chang a una calle o plaza reconocida en la Ciudad de Guatemala y colocar en el lugar donde falleció, o en sus inmediaciones, una placa destacada en su memoria que haga alusión a las actividades que realizaba, en los términos del párrafo 286 de la presente Sentencia.</w:t>
      </w:r>
    </w:p>
    <w:p w14:paraId="23044CDD" w14:textId="77777777" w:rsidR="00F209C0" w:rsidRPr="00F209C0" w:rsidRDefault="00F209C0" w:rsidP="00F209C0">
      <w:pPr>
        <w:pStyle w:val="Prrafodelista"/>
        <w:spacing w:after="0" w:line="240" w:lineRule="auto"/>
        <w:ind w:left="360" w:hanging="360"/>
        <w:rPr>
          <w:rFonts w:ascii="Verdana" w:hAnsi="Verdana"/>
          <w:sz w:val="20"/>
          <w:lang w:val="es-MX"/>
        </w:rPr>
      </w:pPr>
    </w:p>
    <w:p w14:paraId="7705794C" w14:textId="77777777" w:rsidR="00F209C0" w:rsidRPr="00F209C0" w:rsidRDefault="00F209C0" w:rsidP="00F209C0">
      <w:pPr>
        <w:pStyle w:val="Textoindependiente"/>
        <w:numPr>
          <w:ilvl w:val="0"/>
          <w:numId w:val="3"/>
        </w:numPr>
        <w:ind w:left="360"/>
        <w:rPr>
          <w:rFonts w:ascii="Verdana" w:hAnsi="Verdana"/>
          <w:sz w:val="20"/>
        </w:rPr>
      </w:pPr>
      <w:r w:rsidRPr="00F209C0">
        <w:rPr>
          <w:rFonts w:ascii="Verdana" w:hAnsi="Verdana"/>
          <w:sz w:val="20"/>
        </w:rPr>
        <w:t>Pagar la cantidad total de US$266,000.00 (doscientos sesenta y seis mil dólares de los Estados Unidos de América) o su equivalente en moneda guatemalteca por concepto de indemnización del daño material, en los términos de los párrafos 252 a 254 de la presente Sentencia, distribuida de la siguiente manera:</w:t>
      </w:r>
    </w:p>
    <w:p w14:paraId="280B4F99" w14:textId="77777777" w:rsidR="00F209C0" w:rsidRPr="00F209C0" w:rsidRDefault="00F209C0" w:rsidP="00F209C0">
      <w:pPr>
        <w:pStyle w:val="Lneadereferencia"/>
        <w:rPr>
          <w:rFonts w:ascii="Verdana" w:hAnsi="Verdana"/>
          <w:sz w:val="20"/>
        </w:rPr>
      </w:pPr>
    </w:p>
    <w:p w14:paraId="54F96524" w14:textId="77777777" w:rsidR="00F209C0" w:rsidRPr="00F209C0" w:rsidRDefault="00F209C0" w:rsidP="00F209C0">
      <w:pPr>
        <w:pStyle w:val="Prrafodelista"/>
        <w:numPr>
          <w:ilvl w:val="0"/>
          <w:numId w:val="4"/>
        </w:numPr>
        <w:ind w:left="1080" w:hanging="360"/>
        <w:jc w:val="both"/>
        <w:rPr>
          <w:rFonts w:ascii="Verdana" w:hAnsi="Verdana"/>
          <w:sz w:val="20"/>
          <w:szCs w:val="20"/>
          <w:lang w:val="es-MX"/>
        </w:rPr>
      </w:pPr>
      <w:r w:rsidRPr="00F209C0">
        <w:rPr>
          <w:rFonts w:ascii="Verdana" w:hAnsi="Verdana"/>
          <w:sz w:val="20"/>
          <w:szCs w:val="20"/>
          <w:lang w:val="es-MX"/>
        </w:rPr>
        <w:t>a Lucrecia Hernández Mack, en condición de hija de Myrna Mack Chang, la cantidad de US$235,000.00 (doscientos treinta y cinco mil dólares de los Estados Unidos de América) o su equivalente en moneda guatemalteca, en los términos de los párrafos 252 y 254 de la presente Sentencia;</w:t>
      </w:r>
    </w:p>
    <w:p w14:paraId="7EA9F7A2" w14:textId="77777777" w:rsidR="00F209C0" w:rsidRDefault="00F209C0" w:rsidP="00F209C0">
      <w:pPr>
        <w:pStyle w:val="Prrafodelista"/>
        <w:numPr>
          <w:ilvl w:val="0"/>
          <w:numId w:val="4"/>
        </w:numPr>
        <w:ind w:left="1080" w:hanging="360"/>
        <w:jc w:val="both"/>
        <w:rPr>
          <w:rFonts w:ascii="Verdana" w:hAnsi="Verdana"/>
          <w:sz w:val="20"/>
          <w:szCs w:val="20"/>
          <w:lang w:val="es-MX"/>
        </w:rPr>
      </w:pPr>
      <w:r w:rsidRPr="00F209C0">
        <w:rPr>
          <w:rFonts w:ascii="Verdana" w:hAnsi="Verdana"/>
          <w:sz w:val="20"/>
          <w:szCs w:val="20"/>
          <w:lang w:val="es-MX"/>
        </w:rPr>
        <w:t xml:space="preserve">a Lucrecia Hernández Mack la cantidad de US$3,000.00 (tres mil dólares de los Estados Unidos de América) o su equivalente en moneda guatemalteca, en los términos de los párrafos 253.2 y 254 de la presente Sentencia; </w:t>
      </w:r>
    </w:p>
    <w:p w14:paraId="598DEEB9" w14:textId="77777777" w:rsidR="00F209C0" w:rsidRDefault="00F209C0" w:rsidP="00F209C0">
      <w:pPr>
        <w:pStyle w:val="Prrafodelista"/>
        <w:numPr>
          <w:ilvl w:val="0"/>
          <w:numId w:val="4"/>
        </w:numPr>
        <w:ind w:left="1080" w:hanging="360"/>
        <w:jc w:val="both"/>
        <w:rPr>
          <w:rFonts w:ascii="Verdana" w:hAnsi="Verdana"/>
          <w:sz w:val="20"/>
          <w:szCs w:val="20"/>
          <w:lang w:val="es-MX"/>
        </w:rPr>
      </w:pPr>
      <w:r w:rsidRPr="00F209C0">
        <w:rPr>
          <w:rFonts w:ascii="Verdana" w:hAnsi="Verdana"/>
          <w:sz w:val="20"/>
          <w:szCs w:val="20"/>
          <w:lang w:val="es-MX"/>
        </w:rPr>
        <w:lastRenderedPageBreak/>
        <w:t xml:space="preserve">a Zoila Chang Lau, en condición de viuda de </w:t>
      </w:r>
      <w:proofErr w:type="spellStart"/>
      <w:r w:rsidRPr="00F209C0">
        <w:rPr>
          <w:rFonts w:ascii="Verdana" w:hAnsi="Verdana"/>
          <w:sz w:val="20"/>
          <w:szCs w:val="20"/>
          <w:lang w:val="es-MX"/>
        </w:rPr>
        <w:t>Yam</w:t>
      </w:r>
      <w:proofErr w:type="spellEnd"/>
      <w:r w:rsidRPr="00F209C0">
        <w:rPr>
          <w:rFonts w:ascii="Verdana" w:hAnsi="Verdana"/>
          <w:sz w:val="20"/>
          <w:szCs w:val="20"/>
          <w:lang w:val="es-MX"/>
        </w:rPr>
        <w:t xml:space="preserve"> Mack Choy, la cantidad de US$3,000.00 (tres mil dólares de los Estados Unidos de América) o su equivalente en moneda guatemalteca, en los términos de los párrafos 253.2 y 254 de la presente Sentencia; y</w:t>
      </w:r>
    </w:p>
    <w:p w14:paraId="350C0633" w14:textId="77777777" w:rsidR="00F209C0" w:rsidRPr="00F209C0" w:rsidRDefault="00F209C0" w:rsidP="00F209C0">
      <w:pPr>
        <w:pStyle w:val="Prrafodelista"/>
        <w:numPr>
          <w:ilvl w:val="0"/>
          <w:numId w:val="4"/>
        </w:numPr>
        <w:ind w:left="1080" w:hanging="360"/>
        <w:jc w:val="both"/>
        <w:rPr>
          <w:rFonts w:ascii="Verdana" w:hAnsi="Verdana"/>
          <w:sz w:val="20"/>
          <w:szCs w:val="20"/>
          <w:lang w:val="es-MX"/>
        </w:rPr>
      </w:pPr>
      <w:r w:rsidRPr="00F209C0">
        <w:rPr>
          <w:rFonts w:ascii="Verdana" w:hAnsi="Verdana"/>
          <w:sz w:val="20"/>
          <w:szCs w:val="20"/>
          <w:lang w:val="es-MX"/>
        </w:rPr>
        <w:t>a Helen Mack Chang la cantidad de US$25,000.00 (veinticinco mil dólares de los Estados Unidos de América) o su equivalente en moneda guatemalteca, en los términos de los párrafos 253.1 y 254 de la presente Sentencia.</w:t>
      </w:r>
    </w:p>
    <w:p w14:paraId="2956A7F3" w14:textId="77777777" w:rsidR="00F209C0" w:rsidRPr="00F209C0" w:rsidRDefault="00F209C0" w:rsidP="00F209C0">
      <w:pPr>
        <w:pStyle w:val="Textoindependiente"/>
        <w:numPr>
          <w:ilvl w:val="0"/>
          <w:numId w:val="3"/>
        </w:numPr>
        <w:ind w:left="360"/>
        <w:rPr>
          <w:rFonts w:ascii="Verdana" w:hAnsi="Verdana"/>
          <w:sz w:val="20"/>
        </w:rPr>
      </w:pPr>
      <w:r>
        <w:rPr>
          <w:rFonts w:ascii="Verdana" w:hAnsi="Verdana"/>
          <w:sz w:val="20"/>
        </w:rPr>
        <w:t>P</w:t>
      </w:r>
      <w:r w:rsidRPr="00F209C0">
        <w:rPr>
          <w:rFonts w:ascii="Verdana" w:hAnsi="Verdana"/>
          <w:sz w:val="20"/>
        </w:rPr>
        <w:t>agar la cantidad total de US$350,000.00 (trescientos cincuenta mil dólares de los Estados Unidos de América) o su equivalente en moneda guatemalteca por concepto de indemnización del daño inmaterial, en los términos de los párrafos 263 a 267 de la presente Sentencia, distribuida de la siguiente manera:</w:t>
      </w:r>
    </w:p>
    <w:p w14:paraId="7C75CB72" w14:textId="77777777" w:rsidR="00F209C0" w:rsidRPr="00F209C0" w:rsidRDefault="00F209C0" w:rsidP="00F209C0">
      <w:pPr>
        <w:pStyle w:val="Textoindependiente"/>
        <w:rPr>
          <w:rFonts w:ascii="Verdana" w:hAnsi="Verdana"/>
          <w:sz w:val="20"/>
        </w:rPr>
      </w:pPr>
    </w:p>
    <w:p w14:paraId="4E0AE121" w14:textId="77777777" w:rsidR="00F209C0" w:rsidRDefault="00F209C0" w:rsidP="00F209C0">
      <w:pPr>
        <w:pStyle w:val="Lneadereferencia"/>
        <w:numPr>
          <w:ilvl w:val="0"/>
          <w:numId w:val="5"/>
        </w:numPr>
        <w:ind w:left="1080" w:hanging="360"/>
        <w:rPr>
          <w:rFonts w:ascii="Verdana" w:hAnsi="Verdana"/>
          <w:sz w:val="20"/>
        </w:rPr>
      </w:pPr>
      <w:r w:rsidRPr="00F209C0">
        <w:rPr>
          <w:rFonts w:ascii="Verdana" w:hAnsi="Verdana"/>
          <w:sz w:val="20"/>
        </w:rPr>
        <w:t>a Lucrecia Hernández Mack, en condición de hija de Myrna Mack Chang, la cantidad de US$40,000.00 (cuarenta mil dólares de los Estados Unidos de América) o su equivalente en moneda guatemalteca, en los términos de los párrafos 263 y 267 de la presente Sentencia;</w:t>
      </w:r>
    </w:p>
    <w:p w14:paraId="126B8DA0" w14:textId="77777777" w:rsidR="00F209C0" w:rsidRDefault="00F209C0" w:rsidP="00F209C0">
      <w:pPr>
        <w:pStyle w:val="Lneadereferencia"/>
        <w:numPr>
          <w:ilvl w:val="0"/>
          <w:numId w:val="5"/>
        </w:numPr>
        <w:ind w:left="1080" w:hanging="360"/>
        <w:rPr>
          <w:rFonts w:ascii="Verdana" w:hAnsi="Verdana"/>
          <w:sz w:val="20"/>
        </w:rPr>
      </w:pPr>
      <w:r w:rsidRPr="00F209C0">
        <w:rPr>
          <w:rFonts w:ascii="Verdana" w:hAnsi="Verdana"/>
          <w:sz w:val="20"/>
        </w:rPr>
        <w:t>a Lucrecia Hernández Mack la cantidad de US$110,000.00 (ciento diez mil dólares de los Estados Unidos de América) o su equivalente en moneda guatemalteca, en los términos de los párrafos 264.a, 264.b, 266 y 267 de la presente Sentencia;</w:t>
      </w:r>
    </w:p>
    <w:p w14:paraId="4324F669" w14:textId="77777777" w:rsidR="00F209C0" w:rsidRDefault="00F209C0" w:rsidP="00F209C0">
      <w:pPr>
        <w:pStyle w:val="Lneadereferencia"/>
        <w:numPr>
          <w:ilvl w:val="0"/>
          <w:numId w:val="5"/>
        </w:numPr>
        <w:ind w:left="1080" w:hanging="360"/>
        <w:rPr>
          <w:rFonts w:ascii="Verdana" w:hAnsi="Verdana"/>
          <w:sz w:val="20"/>
        </w:rPr>
      </w:pPr>
      <w:r w:rsidRPr="00F209C0">
        <w:rPr>
          <w:rFonts w:ascii="Verdana" w:hAnsi="Verdana"/>
          <w:sz w:val="20"/>
        </w:rPr>
        <w:t xml:space="preserve">a Zoila Chang Lau, en condición de viuda de </w:t>
      </w:r>
      <w:proofErr w:type="spellStart"/>
      <w:r w:rsidRPr="00F209C0">
        <w:rPr>
          <w:rFonts w:ascii="Verdana" w:hAnsi="Verdana"/>
          <w:sz w:val="20"/>
        </w:rPr>
        <w:t>Yam</w:t>
      </w:r>
      <w:proofErr w:type="spellEnd"/>
      <w:r w:rsidRPr="00F209C0">
        <w:rPr>
          <w:rFonts w:ascii="Verdana" w:hAnsi="Verdana"/>
          <w:sz w:val="20"/>
        </w:rPr>
        <w:t xml:space="preserve"> Mack Choy, la cantidad de US$40,000.00 (cuarenta mil dólares de los Estados Unidos de América) o su equivalente en moneda guatemalteca, en los términos de los párrafos 264.a, 264.c y 267 de la presente Sentencia;</w:t>
      </w:r>
    </w:p>
    <w:p w14:paraId="7C0DF853" w14:textId="77777777" w:rsidR="00F209C0" w:rsidRDefault="00F209C0" w:rsidP="00F209C0">
      <w:pPr>
        <w:pStyle w:val="Lneadereferencia"/>
        <w:numPr>
          <w:ilvl w:val="0"/>
          <w:numId w:val="5"/>
        </w:numPr>
        <w:ind w:left="1080" w:hanging="360"/>
        <w:rPr>
          <w:rFonts w:ascii="Verdana" w:hAnsi="Verdana"/>
          <w:sz w:val="20"/>
        </w:rPr>
      </w:pPr>
      <w:r w:rsidRPr="00F209C0">
        <w:rPr>
          <w:rFonts w:ascii="Verdana" w:hAnsi="Verdana"/>
          <w:sz w:val="20"/>
        </w:rPr>
        <w:t>a Zoila Chang Lau la cantidad de US$40,000.00 (cuarenta mil dólares de los Estados Unidos de América) o su equivalente en moneda guatemalteca, en los términos de los párrafos 264.a, 264.c y 267 de la presente Sentencia;</w:t>
      </w:r>
    </w:p>
    <w:p w14:paraId="3EFC94B8" w14:textId="77777777" w:rsidR="00F209C0" w:rsidRDefault="00F209C0" w:rsidP="00F209C0">
      <w:pPr>
        <w:pStyle w:val="Lneadereferencia"/>
        <w:numPr>
          <w:ilvl w:val="0"/>
          <w:numId w:val="5"/>
        </w:numPr>
        <w:ind w:left="1080" w:hanging="360"/>
        <w:rPr>
          <w:rFonts w:ascii="Verdana" w:hAnsi="Verdana"/>
          <w:sz w:val="20"/>
        </w:rPr>
      </w:pPr>
      <w:r w:rsidRPr="00F209C0">
        <w:rPr>
          <w:rFonts w:ascii="Verdana" w:hAnsi="Verdana"/>
          <w:sz w:val="20"/>
        </w:rPr>
        <w:t>a Helen Mack Chang la cantidad de US$100,000.00 (cien mil dólares de los Estados Unidos de América) o su equivalente en moneda guatemalteca, en los términos de los párrafos  264.a, 264.d y 267 de la presente Sentencia; y</w:t>
      </w:r>
    </w:p>
    <w:p w14:paraId="7AE22763" w14:textId="77777777" w:rsidR="00F209C0" w:rsidRPr="00F209C0" w:rsidRDefault="00F209C0" w:rsidP="00F209C0">
      <w:pPr>
        <w:pStyle w:val="Lneadereferencia"/>
        <w:numPr>
          <w:ilvl w:val="0"/>
          <w:numId w:val="5"/>
        </w:numPr>
        <w:ind w:left="1080" w:hanging="360"/>
        <w:rPr>
          <w:rFonts w:ascii="Verdana" w:hAnsi="Verdana"/>
          <w:sz w:val="20"/>
        </w:rPr>
      </w:pPr>
      <w:r w:rsidRPr="00F209C0">
        <w:rPr>
          <w:rFonts w:ascii="Verdana" w:hAnsi="Verdana"/>
          <w:sz w:val="20"/>
        </w:rPr>
        <w:t xml:space="preserve">a Marco Mack Chang, Freddy Mack Chang, Ronald Chang </w:t>
      </w:r>
      <w:proofErr w:type="spellStart"/>
      <w:r w:rsidRPr="00F209C0">
        <w:rPr>
          <w:rFonts w:ascii="Verdana" w:hAnsi="Verdana"/>
          <w:sz w:val="20"/>
        </w:rPr>
        <w:t>Apuy</w:t>
      </w:r>
      <w:proofErr w:type="spellEnd"/>
      <w:r w:rsidRPr="00F209C0">
        <w:rPr>
          <w:rFonts w:ascii="Verdana" w:hAnsi="Verdana"/>
          <w:sz w:val="20"/>
        </w:rPr>
        <w:t xml:space="preserve"> y Vivian Mack Chang, la cantidad de US$5,000.00 (cinco mil dólares de los Estados Unidos de América) o su equivalente en moneda guatemalteca, a cada uno de ellos, en los términos de los párrafos 264.a, 264.e, 264.f, 264.g y 267</w:t>
      </w:r>
      <w:r w:rsidRPr="00F209C0">
        <w:rPr>
          <w:rFonts w:ascii="Verdana" w:hAnsi="Verdana"/>
          <w:b/>
          <w:sz w:val="20"/>
        </w:rPr>
        <w:t xml:space="preserve"> </w:t>
      </w:r>
      <w:r w:rsidRPr="00F209C0">
        <w:rPr>
          <w:rFonts w:ascii="Verdana" w:hAnsi="Verdana"/>
          <w:sz w:val="20"/>
        </w:rPr>
        <w:t>de la presente Sentencia.</w:t>
      </w:r>
    </w:p>
    <w:p w14:paraId="510E0B48" w14:textId="77777777" w:rsidR="00F209C0" w:rsidRPr="00F209C0" w:rsidRDefault="00F209C0" w:rsidP="00F209C0">
      <w:pPr>
        <w:pStyle w:val="Lneadereferencia"/>
        <w:rPr>
          <w:rFonts w:ascii="Verdana" w:hAnsi="Verdana"/>
          <w:sz w:val="20"/>
        </w:rPr>
      </w:pPr>
    </w:p>
    <w:p w14:paraId="22D3AEFC" w14:textId="77777777" w:rsidR="00F209C0" w:rsidRPr="00F209C0" w:rsidRDefault="00F209C0" w:rsidP="00F209C0">
      <w:pPr>
        <w:pStyle w:val="Lneadereferencia"/>
        <w:numPr>
          <w:ilvl w:val="0"/>
          <w:numId w:val="3"/>
        </w:numPr>
        <w:ind w:left="360"/>
        <w:rPr>
          <w:rFonts w:ascii="Verdana" w:hAnsi="Verdana"/>
          <w:sz w:val="20"/>
        </w:rPr>
      </w:pPr>
      <w:r>
        <w:rPr>
          <w:rFonts w:ascii="Verdana" w:hAnsi="Verdana"/>
          <w:sz w:val="20"/>
        </w:rPr>
        <w:t>P</w:t>
      </w:r>
      <w:r w:rsidRPr="00F209C0">
        <w:rPr>
          <w:rFonts w:ascii="Verdana" w:hAnsi="Verdana"/>
          <w:sz w:val="20"/>
        </w:rPr>
        <w:t>agar la cantidad total de US$163,000.00 (ciento sesenta y tres mil dólares de los Estados Unidos de América) por concepto de costas y gastos, y la cantidad de US$5,000.00 (cinco mil dólares de los Estados Unidos de América) por concepto de gastos futuros, en los términos de los párrafos 291 y 292 de la presente Sentencia, distribuida de la siguiente manera:</w:t>
      </w:r>
    </w:p>
    <w:p w14:paraId="2DECCD9E" w14:textId="77777777" w:rsidR="00F209C0" w:rsidRPr="00F209C0" w:rsidRDefault="00F209C0" w:rsidP="00F209C0">
      <w:pPr>
        <w:pStyle w:val="Lneadereferencia"/>
        <w:rPr>
          <w:rFonts w:ascii="Verdana" w:hAnsi="Verdana"/>
          <w:sz w:val="20"/>
        </w:rPr>
      </w:pPr>
    </w:p>
    <w:p w14:paraId="7098F898" w14:textId="77777777" w:rsidR="00F209C0" w:rsidRDefault="00F209C0" w:rsidP="00F209C0">
      <w:pPr>
        <w:pStyle w:val="Lneadereferencia"/>
        <w:numPr>
          <w:ilvl w:val="0"/>
          <w:numId w:val="6"/>
        </w:numPr>
        <w:ind w:left="1080"/>
        <w:rPr>
          <w:rFonts w:ascii="Verdana" w:hAnsi="Verdana"/>
          <w:sz w:val="20"/>
        </w:rPr>
      </w:pPr>
      <w:r w:rsidRPr="00F209C0">
        <w:rPr>
          <w:rFonts w:ascii="Verdana" w:hAnsi="Verdana"/>
          <w:sz w:val="20"/>
        </w:rPr>
        <w:t>a la Fundación Myrna Mack la cantidad de US$145,000.00 (ciento cuarenta y cinco mil dólares de los Estados Unidos de América), y la cantidad de US$5,000.00 (cinco mil dólares de los Estados Unidos de América), para cubrir los gastos que causen en el futuro las gestiones relacionadas con el proceso penal en curso para sancionar a todos los responsables de lo ocurrido a Myrna Mack Chang, en los términos de los párrafos 291.a y 292</w:t>
      </w:r>
      <w:r w:rsidRPr="00F209C0">
        <w:rPr>
          <w:rFonts w:ascii="Verdana" w:hAnsi="Verdana"/>
          <w:b/>
          <w:sz w:val="20"/>
        </w:rPr>
        <w:t xml:space="preserve"> </w:t>
      </w:r>
      <w:r w:rsidRPr="00F209C0">
        <w:rPr>
          <w:rFonts w:ascii="Verdana" w:hAnsi="Verdana"/>
          <w:sz w:val="20"/>
        </w:rPr>
        <w:t>de la presente Sentencia;</w:t>
      </w:r>
    </w:p>
    <w:p w14:paraId="3785C306" w14:textId="77777777" w:rsidR="00F209C0" w:rsidRDefault="00F209C0" w:rsidP="00F209C0">
      <w:pPr>
        <w:pStyle w:val="Lneadereferencia"/>
        <w:numPr>
          <w:ilvl w:val="0"/>
          <w:numId w:val="6"/>
        </w:numPr>
        <w:ind w:left="1080"/>
        <w:rPr>
          <w:rFonts w:ascii="Verdana" w:hAnsi="Verdana"/>
          <w:sz w:val="20"/>
        </w:rPr>
      </w:pPr>
      <w:r w:rsidRPr="00F209C0">
        <w:rPr>
          <w:rFonts w:ascii="Verdana" w:hAnsi="Verdana"/>
          <w:sz w:val="20"/>
        </w:rPr>
        <w:lastRenderedPageBreak/>
        <w:t xml:space="preserve">a </w:t>
      </w:r>
      <w:proofErr w:type="spellStart"/>
      <w:r w:rsidRPr="00F209C0">
        <w:rPr>
          <w:rFonts w:ascii="Verdana" w:hAnsi="Verdana"/>
          <w:sz w:val="20"/>
        </w:rPr>
        <w:t>Lawyers</w:t>
      </w:r>
      <w:proofErr w:type="spellEnd"/>
      <w:r w:rsidRPr="00F209C0">
        <w:rPr>
          <w:rFonts w:ascii="Verdana" w:hAnsi="Verdana"/>
          <w:sz w:val="20"/>
        </w:rPr>
        <w:t xml:space="preserve"> </w:t>
      </w:r>
      <w:proofErr w:type="spellStart"/>
      <w:r w:rsidRPr="00F209C0">
        <w:rPr>
          <w:rFonts w:ascii="Verdana" w:hAnsi="Verdana"/>
          <w:sz w:val="20"/>
        </w:rPr>
        <w:t>Committee</w:t>
      </w:r>
      <w:proofErr w:type="spellEnd"/>
      <w:r w:rsidRPr="00F209C0">
        <w:rPr>
          <w:rFonts w:ascii="Verdana" w:hAnsi="Verdana"/>
          <w:sz w:val="20"/>
        </w:rPr>
        <w:t xml:space="preserve"> </w:t>
      </w:r>
      <w:proofErr w:type="spellStart"/>
      <w:r w:rsidRPr="00F209C0">
        <w:rPr>
          <w:rFonts w:ascii="Verdana" w:hAnsi="Verdana"/>
          <w:sz w:val="20"/>
        </w:rPr>
        <w:t>for</w:t>
      </w:r>
      <w:proofErr w:type="spellEnd"/>
      <w:r w:rsidRPr="00F209C0">
        <w:rPr>
          <w:rFonts w:ascii="Verdana" w:hAnsi="Verdana"/>
          <w:sz w:val="20"/>
        </w:rPr>
        <w:t xml:space="preserve"> Human </w:t>
      </w:r>
      <w:proofErr w:type="spellStart"/>
      <w:r w:rsidRPr="00F209C0">
        <w:rPr>
          <w:rFonts w:ascii="Verdana" w:hAnsi="Verdana"/>
          <w:sz w:val="20"/>
        </w:rPr>
        <w:t>Rights</w:t>
      </w:r>
      <w:proofErr w:type="spellEnd"/>
      <w:r w:rsidRPr="00F209C0">
        <w:rPr>
          <w:rFonts w:ascii="Verdana" w:hAnsi="Verdana"/>
          <w:sz w:val="20"/>
        </w:rPr>
        <w:t xml:space="preserve"> la cantidad de US$5,000.00 (cinco mil dólares de los Estados Unidos de América), en los términos del párrafo 291.b de la presente Sentencia;</w:t>
      </w:r>
    </w:p>
    <w:p w14:paraId="219794EC" w14:textId="77777777" w:rsidR="00F209C0" w:rsidRDefault="00F209C0" w:rsidP="00F209C0">
      <w:pPr>
        <w:pStyle w:val="Lneadereferencia"/>
        <w:numPr>
          <w:ilvl w:val="0"/>
          <w:numId w:val="6"/>
        </w:numPr>
        <w:ind w:left="1080"/>
        <w:rPr>
          <w:rFonts w:ascii="Verdana" w:hAnsi="Verdana"/>
          <w:sz w:val="20"/>
        </w:rPr>
      </w:pPr>
      <w:r w:rsidRPr="00F209C0">
        <w:rPr>
          <w:rFonts w:ascii="Verdana" w:hAnsi="Verdana"/>
          <w:sz w:val="20"/>
        </w:rPr>
        <w:t xml:space="preserve">al bufete Wilmer, Cutler y </w:t>
      </w:r>
      <w:proofErr w:type="spellStart"/>
      <w:r w:rsidRPr="00F209C0">
        <w:rPr>
          <w:rFonts w:ascii="Verdana" w:hAnsi="Verdana"/>
          <w:sz w:val="20"/>
        </w:rPr>
        <w:t>Pickering</w:t>
      </w:r>
      <w:proofErr w:type="spellEnd"/>
      <w:r w:rsidRPr="00F209C0">
        <w:rPr>
          <w:rFonts w:ascii="Verdana" w:hAnsi="Verdana"/>
          <w:sz w:val="20"/>
        </w:rPr>
        <w:t xml:space="preserve"> la cantidad de US$5,000.00 (cinco mil dólares de los Estados Unidos de América), en los términos del párrafo 291.c de la presente Sentencia;</w:t>
      </w:r>
    </w:p>
    <w:p w14:paraId="4F38F01C" w14:textId="77777777" w:rsidR="00F209C0" w:rsidRDefault="00F209C0" w:rsidP="00F209C0">
      <w:pPr>
        <w:pStyle w:val="Lneadereferencia"/>
        <w:numPr>
          <w:ilvl w:val="0"/>
          <w:numId w:val="6"/>
        </w:numPr>
        <w:ind w:left="1080"/>
        <w:rPr>
          <w:rFonts w:ascii="Verdana" w:hAnsi="Verdana"/>
          <w:sz w:val="20"/>
        </w:rPr>
      </w:pPr>
      <w:r w:rsidRPr="00F209C0">
        <w:rPr>
          <w:rFonts w:ascii="Verdana" w:hAnsi="Verdana"/>
          <w:sz w:val="20"/>
        </w:rPr>
        <w:t xml:space="preserve">al bufete Hogan &amp; </w:t>
      </w:r>
      <w:proofErr w:type="spellStart"/>
      <w:r w:rsidRPr="00F209C0">
        <w:rPr>
          <w:rFonts w:ascii="Verdana" w:hAnsi="Verdana"/>
          <w:sz w:val="20"/>
        </w:rPr>
        <w:t>Hartson</w:t>
      </w:r>
      <w:proofErr w:type="spellEnd"/>
      <w:r w:rsidRPr="00F209C0">
        <w:rPr>
          <w:rFonts w:ascii="Verdana" w:hAnsi="Verdana"/>
          <w:sz w:val="20"/>
        </w:rPr>
        <w:t xml:space="preserve"> la cantidad de US$5,000.00 (cinco mil dólares de los Estados Unidos de América), en los términos del párrafo 291.d de la presente Sentencia; y</w:t>
      </w:r>
    </w:p>
    <w:p w14:paraId="56603BDC" w14:textId="77777777" w:rsidR="00F209C0" w:rsidRPr="00F209C0" w:rsidRDefault="00F209C0" w:rsidP="00F209C0">
      <w:pPr>
        <w:pStyle w:val="Lneadereferencia"/>
        <w:numPr>
          <w:ilvl w:val="0"/>
          <w:numId w:val="6"/>
        </w:numPr>
        <w:ind w:left="1080"/>
        <w:rPr>
          <w:rFonts w:ascii="Verdana" w:hAnsi="Verdana"/>
          <w:sz w:val="20"/>
        </w:rPr>
      </w:pPr>
      <w:r w:rsidRPr="00F209C0">
        <w:rPr>
          <w:rFonts w:ascii="Verdana" w:hAnsi="Verdana"/>
          <w:sz w:val="20"/>
        </w:rPr>
        <w:t>al Centro por la Justicia y el Derecho Internacional (CEJIL) la cantidad de US$3,000.00 (tres mil dólares de los Estados Unidos de América), en los términos del párrafo 291.e de la presente Sentencia.</w:t>
      </w:r>
    </w:p>
    <w:p w14:paraId="44E55105" w14:textId="77777777" w:rsidR="00F209C0" w:rsidRDefault="00F209C0">
      <w:pPr>
        <w:rPr>
          <w:rFonts w:ascii="Verdana" w:hAnsi="Verdana"/>
          <w:sz w:val="20"/>
          <w:szCs w:val="20"/>
          <w:lang w:val="es-ES_tradnl"/>
        </w:rPr>
      </w:pPr>
    </w:p>
    <w:p w14:paraId="2C620E73" w14:textId="77777777" w:rsidR="003415A0" w:rsidRPr="00F11C01" w:rsidRDefault="003415A0" w:rsidP="003415A0">
      <w:pPr>
        <w:rPr>
          <w:rFonts w:ascii="Verdana" w:hAnsi="Verdana"/>
          <w:b/>
          <w:sz w:val="20"/>
          <w:szCs w:val="20"/>
          <w:lang w:val="es-ES_tradnl"/>
        </w:rPr>
      </w:pPr>
      <w:r w:rsidRPr="00F11C01">
        <w:rPr>
          <w:rFonts w:ascii="Verdana" w:hAnsi="Verdana"/>
          <w:b/>
          <w:sz w:val="20"/>
          <w:szCs w:val="20"/>
          <w:lang w:val="es-ES_tradnl"/>
        </w:rPr>
        <w:t>Cumplimiento parcial:</w:t>
      </w:r>
    </w:p>
    <w:p w14:paraId="48D11F41" w14:textId="77777777" w:rsidR="003415A0" w:rsidRPr="003415A0" w:rsidRDefault="003415A0" w:rsidP="003415A0">
      <w:pPr>
        <w:pStyle w:val="Prrafodelista"/>
        <w:numPr>
          <w:ilvl w:val="0"/>
          <w:numId w:val="3"/>
        </w:numPr>
        <w:ind w:left="360"/>
        <w:jc w:val="both"/>
        <w:rPr>
          <w:rFonts w:ascii="Verdana" w:hAnsi="Verdana"/>
          <w:color w:val="000000"/>
          <w:sz w:val="20"/>
          <w:lang w:val="es-MX"/>
        </w:rPr>
      </w:pPr>
      <w:r w:rsidRPr="003415A0">
        <w:rPr>
          <w:rFonts w:ascii="Verdana" w:hAnsi="Verdana"/>
          <w:color w:val="000000"/>
          <w:sz w:val="20"/>
          <w:lang w:val="es-MX"/>
        </w:rPr>
        <w:t>Investigar efectivamente los hechos del presente caso, con el fin de identificar, juzgar y sancionar a todos los autores materiales e intelectuales, y demás responsables de la ejecución extrajudicial de Myrna Mack Chang, y del encubrimiento de la ejecución extrajudicial y de los otros hechos del presente caso, independientemente de la persona que ya se encuentra sancionada por estos hechos; y que los resultados de las investigaciones deben ser públicamente divulgados, en los términos de los párrafos</w:t>
      </w:r>
      <w:r w:rsidRPr="003415A0">
        <w:rPr>
          <w:rFonts w:ascii="Verdana" w:hAnsi="Verdana"/>
          <w:b/>
          <w:color w:val="000000"/>
          <w:sz w:val="20"/>
          <w:lang w:val="es-MX"/>
        </w:rPr>
        <w:t xml:space="preserve"> </w:t>
      </w:r>
      <w:r w:rsidRPr="003415A0">
        <w:rPr>
          <w:rFonts w:ascii="Verdana" w:hAnsi="Verdana"/>
          <w:color w:val="000000"/>
          <w:sz w:val="20"/>
          <w:lang w:val="es-MX"/>
        </w:rPr>
        <w:t>271 a 275 de la presente Sentencia.</w:t>
      </w:r>
    </w:p>
    <w:p w14:paraId="19A8D369" w14:textId="77777777" w:rsidR="003415A0" w:rsidRPr="00F11C01" w:rsidRDefault="003415A0" w:rsidP="003415A0">
      <w:pPr>
        <w:jc w:val="both"/>
        <w:rPr>
          <w:rFonts w:ascii="Verdana" w:hAnsi="Verdana"/>
          <w:sz w:val="20"/>
          <w:lang w:val="es-MX"/>
        </w:rPr>
      </w:pPr>
      <w:r>
        <w:rPr>
          <w:rFonts w:ascii="Verdana" w:hAnsi="Verdana"/>
          <w:sz w:val="20"/>
          <w:lang w:val="es-MX"/>
        </w:rPr>
        <w:t>En los</w:t>
      </w:r>
      <w:r w:rsidRPr="00F11C01">
        <w:rPr>
          <w:rFonts w:ascii="Verdana" w:hAnsi="Verdana"/>
          <w:sz w:val="20"/>
          <w:lang w:val="es-MX"/>
        </w:rPr>
        <w:t xml:space="preserve"> Considerando</w:t>
      </w:r>
      <w:r>
        <w:rPr>
          <w:rFonts w:ascii="Verdana" w:hAnsi="Verdana"/>
          <w:sz w:val="20"/>
          <w:lang w:val="es-MX"/>
        </w:rPr>
        <w:t>s 8, 9 y 16</w:t>
      </w:r>
      <w:r w:rsidRPr="00F11C01">
        <w:rPr>
          <w:rFonts w:ascii="Verdana" w:hAnsi="Verdana"/>
          <w:sz w:val="20"/>
          <w:lang w:val="es-MX"/>
        </w:rPr>
        <w:t xml:space="preserve">  d</w:t>
      </w:r>
      <w:r>
        <w:rPr>
          <w:rFonts w:ascii="Verdana" w:hAnsi="Verdana"/>
          <w:sz w:val="20"/>
          <w:lang w:val="es-MX"/>
        </w:rPr>
        <w:t>e la resolución de la Corte de 26</w:t>
      </w:r>
      <w:r w:rsidRPr="00F11C01">
        <w:rPr>
          <w:rFonts w:ascii="Verdana" w:hAnsi="Verdana"/>
          <w:sz w:val="20"/>
          <w:lang w:val="es-MX"/>
        </w:rPr>
        <w:t xml:space="preserve"> de </w:t>
      </w:r>
      <w:r>
        <w:rPr>
          <w:rFonts w:ascii="Verdana" w:hAnsi="Verdana"/>
          <w:sz w:val="20"/>
          <w:lang w:val="es-MX"/>
        </w:rPr>
        <w:t xml:space="preserve">noviembre </w:t>
      </w:r>
      <w:r w:rsidRPr="00F11C01">
        <w:rPr>
          <w:rFonts w:ascii="Verdana" w:hAnsi="Verdana"/>
          <w:sz w:val="20"/>
          <w:lang w:val="es-MX"/>
        </w:rPr>
        <w:t>de 2007 se explica lo que continúa pendiente de cumplimiento respecto a la presente medida de reparación:</w:t>
      </w:r>
    </w:p>
    <w:p w14:paraId="7CC331F7" w14:textId="5426D3E5" w:rsidR="003415A0" w:rsidRDefault="003415A0" w:rsidP="003415A0">
      <w:pPr>
        <w:spacing w:after="0" w:line="240" w:lineRule="auto"/>
        <w:ind w:left="360" w:right="810"/>
        <w:jc w:val="both"/>
        <w:rPr>
          <w:rFonts w:ascii="Verdana" w:eastAsia="Times" w:hAnsi="Verdana" w:cs="Times New Roman"/>
          <w:sz w:val="18"/>
          <w:szCs w:val="18"/>
          <w:lang w:val="es-ES_tradnl" w:eastAsia="es-ES"/>
        </w:rPr>
      </w:pPr>
      <w:r w:rsidRPr="00F11C01">
        <w:rPr>
          <w:rFonts w:ascii="Verdana" w:eastAsia="Times" w:hAnsi="Verdana" w:cs="Times New Roman"/>
          <w:sz w:val="18"/>
          <w:szCs w:val="18"/>
          <w:lang w:val="es-ES_tradnl" w:eastAsia="es-ES"/>
        </w:rPr>
        <w:t>8.</w:t>
      </w:r>
      <w:r w:rsidRPr="00F11C01">
        <w:rPr>
          <w:rFonts w:ascii="Verdana" w:eastAsia="Times" w:hAnsi="Verdana" w:cs="Times New Roman"/>
          <w:sz w:val="18"/>
          <w:szCs w:val="18"/>
          <w:lang w:val="es-ES_tradnl" w:eastAsia="es-ES"/>
        </w:rPr>
        <w:tab/>
        <w:t xml:space="preserve">Que luego de evaluar en su conjunto las investigaciones adelantadas a nivel interno, las condenas realizadas y los hechos probados de la Sentencia, además de las observaciones que han presentado tanto los representantes como la Comisión, las cuales se circunscriben a exigir la captura del señor Juan Valencia Osorio por las autoridades estatales, esta Corte considera que en el presente caso la investigación de los hechos de la ejecución de la señora Myrna Mack Chang ha sido agotada.  </w:t>
      </w:r>
    </w:p>
    <w:p w14:paraId="709BE1D6" w14:textId="77777777" w:rsidR="00EF77F8" w:rsidRPr="00F11C01" w:rsidRDefault="00EF77F8" w:rsidP="003415A0">
      <w:pPr>
        <w:spacing w:after="0" w:line="240" w:lineRule="auto"/>
        <w:ind w:left="360" w:right="810"/>
        <w:jc w:val="both"/>
        <w:rPr>
          <w:rFonts w:ascii="Verdana" w:eastAsia="Times" w:hAnsi="Verdana" w:cs="Times New Roman"/>
          <w:sz w:val="18"/>
          <w:szCs w:val="18"/>
          <w:lang w:val="es-ES_tradnl" w:eastAsia="es-ES"/>
        </w:rPr>
      </w:pPr>
    </w:p>
    <w:p w14:paraId="6760D43A" w14:textId="14328AF6" w:rsidR="003415A0" w:rsidRPr="00F11C01" w:rsidRDefault="003415A0" w:rsidP="003415A0">
      <w:pPr>
        <w:spacing w:after="0" w:line="240" w:lineRule="auto"/>
        <w:ind w:left="360" w:right="810"/>
        <w:jc w:val="both"/>
        <w:rPr>
          <w:rFonts w:ascii="Verdana" w:eastAsia="Times" w:hAnsi="Verdana" w:cs="Times New Roman"/>
          <w:sz w:val="18"/>
          <w:szCs w:val="18"/>
          <w:lang w:val="es-ES_tradnl" w:eastAsia="es-ES"/>
        </w:rPr>
      </w:pPr>
      <w:r w:rsidRPr="00F11C01">
        <w:rPr>
          <w:rFonts w:ascii="Verdana" w:eastAsia="Times" w:hAnsi="Verdana" w:cs="Times New Roman"/>
          <w:sz w:val="18"/>
          <w:szCs w:val="18"/>
          <w:lang w:val="es-ES_tradnl" w:eastAsia="es-ES"/>
        </w:rPr>
        <w:t>9.</w:t>
      </w:r>
      <w:r w:rsidRPr="00F11C01">
        <w:rPr>
          <w:rFonts w:ascii="Verdana" w:eastAsia="Times" w:hAnsi="Verdana" w:cs="Times New Roman"/>
          <w:sz w:val="18"/>
          <w:szCs w:val="18"/>
          <w:lang w:val="es-ES_tradnl" w:eastAsia="es-ES"/>
        </w:rPr>
        <w:tab/>
        <w:t>Que, sin perjuicio de lo anterior, la Corte destaca que el señor Juan Valencia Osorio se encuentra en fuga, de acuerdo a la información remitida por el Estado (</w:t>
      </w:r>
      <w:r w:rsidRPr="00F11C01">
        <w:rPr>
          <w:rFonts w:ascii="Verdana" w:eastAsia="Times" w:hAnsi="Verdana" w:cs="Times New Roman"/>
          <w:i/>
          <w:sz w:val="18"/>
          <w:szCs w:val="18"/>
          <w:lang w:val="es-ES_tradnl" w:eastAsia="es-ES"/>
        </w:rPr>
        <w:t>supra</w:t>
      </w:r>
      <w:r w:rsidRPr="00F11C01">
        <w:rPr>
          <w:rFonts w:ascii="Verdana" w:eastAsia="Times" w:hAnsi="Verdana" w:cs="Times New Roman"/>
          <w:sz w:val="18"/>
          <w:szCs w:val="18"/>
          <w:lang w:val="es-ES_tradnl" w:eastAsia="es-ES"/>
        </w:rPr>
        <w:t xml:space="preserve"> Vistos 5.a y 8.a).  Que el Tribunal advierte que han transcurrido tres años desde la ocurrencia de ésta y que el Estado ha informado acerca de la creación de un “Comité de Impulso” para hacer efectiva su captura (</w:t>
      </w:r>
      <w:r w:rsidRPr="00F11C01">
        <w:rPr>
          <w:rFonts w:ascii="Verdana" w:eastAsia="Times" w:hAnsi="Verdana" w:cs="Times New Roman"/>
          <w:i/>
          <w:sz w:val="18"/>
          <w:szCs w:val="18"/>
          <w:lang w:val="es-ES_tradnl" w:eastAsia="es-ES"/>
        </w:rPr>
        <w:t>supra</w:t>
      </w:r>
      <w:r w:rsidRPr="00F11C01">
        <w:rPr>
          <w:rFonts w:ascii="Verdana" w:eastAsia="Times" w:hAnsi="Verdana" w:cs="Times New Roman"/>
          <w:sz w:val="18"/>
          <w:szCs w:val="18"/>
          <w:lang w:val="es-ES_tradnl" w:eastAsia="es-ES"/>
        </w:rPr>
        <w:t xml:space="preserve"> Visto 8.a).  Que la Corte reafirma lo dispuesto en la Sentencia en el presente caso, en particular que “[e]n caso[s] de ejecuciones extrajudiciales es fundamental que los Estados investiguen efectivamente la privación del derecho a la vida y castiguen a todos sus responsables, especialmente cuando están involucrados agentes estatales, ya que de no ser así, se estarían creando, dentro de un ambiente de impunidad, las condiciones para que este tipo de hechos vuelva a repetirse, lo que es contrario al deber de respetar y garantizar el derecho a la vida”.  Consecuentemente, el Tribunal insta al Estado para que por intermedio de sus autoridades realice todas las diligencias necesarias para hacer efectiva la captura del señor Valencia Osorio con el fin de dar cumplimiento total a lo ordenado por el Tribunal en el punto resolutivo quinto de la Sentencia de 25 de noviembre de 2003.</w:t>
      </w:r>
    </w:p>
    <w:p w14:paraId="08BAACE2" w14:textId="2B419FCA" w:rsidR="003415A0" w:rsidRDefault="003415A0" w:rsidP="003415A0">
      <w:pPr>
        <w:spacing w:after="0" w:line="240" w:lineRule="auto"/>
        <w:ind w:left="360" w:right="810"/>
        <w:rPr>
          <w:rFonts w:ascii="Verdana" w:hAnsi="Verdana"/>
          <w:sz w:val="18"/>
          <w:szCs w:val="18"/>
          <w:lang w:val="es-ES_tradnl"/>
        </w:rPr>
      </w:pPr>
    </w:p>
    <w:p w14:paraId="7A74EABF" w14:textId="77777777" w:rsidR="00EF77F8" w:rsidRPr="00F11C01" w:rsidRDefault="00EF77F8" w:rsidP="003415A0">
      <w:pPr>
        <w:spacing w:after="0" w:line="240" w:lineRule="auto"/>
        <w:ind w:left="360" w:right="810"/>
        <w:rPr>
          <w:rFonts w:ascii="Verdana" w:hAnsi="Verdana"/>
          <w:sz w:val="18"/>
          <w:szCs w:val="18"/>
          <w:lang w:val="es-ES_tradnl"/>
        </w:rPr>
      </w:pPr>
    </w:p>
    <w:p w14:paraId="7C871E95" w14:textId="0F9BDACF" w:rsidR="003415A0" w:rsidRDefault="003415A0" w:rsidP="003415A0">
      <w:pPr>
        <w:pStyle w:val="Textoindependiente"/>
        <w:ind w:left="360" w:right="810"/>
        <w:rPr>
          <w:rFonts w:ascii="Verdana" w:hAnsi="Verdana"/>
          <w:sz w:val="18"/>
          <w:szCs w:val="18"/>
        </w:rPr>
      </w:pPr>
      <w:r w:rsidRPr="00F11C01">
        <w:rPr>
          <w:rFonts w:ascii="Verdana" w:hAnsi="Verdana"/>
          <w:sz w:val="18"/>
          <w:szCs w:val="18"/>
        </w:rPr>
        <w:t>16.</w:t>
      </w:r>
      <w:r w:rsidRPr="00F11C01">
        <w:rPr>
          <w:rFonts w:ascii="Verdana" w:hAnsi="Verdana"/>
          <w:sz w:val="18"/>
          <w:szCs w:val="18"/>
        </w:rPr>
        <w:tab/>
        <w:t>Que la Corte considera indispensable que el Estado presente información actualizada y detallada sobre el siguiente pu</w:t>
      </w:r>
      <w:r>
        <w:rPr>
          <w:rFonts w:ascii="Verdana" w:hAnsi="Verdana"/>
          <w:sz w:val="18"/>
          <w:szCs w:val="18"/>
        </w:rPr>
        <w:t xml:space="preserve">nto pendiente de cumplimiento: </w:t>
      </w:r>
    </w:p>
    <w:p w14:paraId="6925E32E" w14:textId="77777777" w:rsidR="00EF77F8" w:rsidRPr="00F11C01" w:rsidRDefault="00EF77F8" w:rsidP="003415A0">
      <w:pPr>
        <w:pStyle w:val="Textoindependiente"/>
        <w:ind w:left="360" w:right="810"/>
        <w:rPr>
          <w:rFonts w:ascii="Verdana" w:hAnsi="Verdana"/>
          <w:sz w:val="18"/>
          <w:szCs w:val="18"/>
        </w:rPr>
      </w:pPr>
    </w:p>
    <w:p w14:paraId="66AD3B14" w14:textId="77777777" w:rsidR="003415A0" w:rsidRPr="00F11C01" w:rsidRDefault="003415A0" w:rsidP="00EF77F8">
      <w:pPr>
        <w:spacing w:after="0" w:line="240" w:lineRule="auto"/>
        <w:ind w:left="720" w:right="810"/>
        <w:jc w:val="both"/>
        <w:rPr>
          <w:rFonts w:ascii="Verdana" w:hAnsi="Verdana"/>
          <w:sz w:val="18"/>
          <w:szCs w:val="18"/>
          <w:lang w:val="es-MX"/>
        </w:rPr>
      </w:pPr>
      <w:r w:rsidRPr="00F11C01">
        <w:rPr>
          <w:rFonts w:ascii="Verdana" w:hAnsi="Verdana"/>
          <w:sz w:val="18"/>
          <w:szCs w:val="18"/>
          <w:lang w:val="es-MX"/>
        </w:rPr>
        <w:t xml:space="preserve">a) </w:t>
      </w:r>
      <w:r w:rsidRPr="00F11C01">
        <w:rPr>
          <w:rFonts w:ascii="Verdana" w:hAnsi="Verdana"/>
          <w:sz w:val="18"/>
          <w:szCs w:val="18"/>
          <w:lang w:val="es-MX"/>
        </w:rPr>
        <w:tab/>
        <w:t xml:space="preserve">realizar las diligencias pertinentes para hacer efectiva la captura del señor Juan Valencia Osorio, quien fue condenado por las autoridades estatales como autor intelectual de la ejecución extrajudicial de Myrna Mack Chang, en relación con el </w:t>
      </w:r>
      <w:r w:rsidRPr="00EF77F8">
        <w:rPr>
          <w:rFonts w:ascii="Verdana" w:hAnsi="Verdana"/>
          <w:b/>
          <w:bCs/>
          <w:i/>
          <w:sz w:val="18"/>
          <w:szCs w:val="18"/>
          <w:lang w:val="es-MX"/>
        </w:rPr>
        <w:t>punto resolutivo quinto de la Sentencia sobre fondo, reparaciones y costas de 25 de noviembre de 2003</w:t>
      </w:r>
      <w:r w:rsidRPr="00EF77F8">
        <w:rPr>
          <w:rFonts w:ascii="Verdana" w:hAnsi="Verdana"/>
          <w:b/>
          <w:bCs/>
          <w:sz w:val="18"/>
          <w:szCs w:val="18"/>
          <w:lang w:val="es-MX"/>
        </w:rPr>
        <w:t xml:space="preserve"> (</w:t>
      </w:r>
      <w:r w:rsidRPr="00EF77F8">
        <w:rPr>
          <w:rFonts w:ascii="Verdana" w:hAnsi="Verdana"/>
          <w:b/>
          <w:bCs/>
          <w:i/>
          <w:sz w:val="18"/>
          <w:szCs w:val="18"/>
          <w:lang w:val="es-MX"/>
        </w:rPr>
        <w:t>supra</w:t>
      </w:r>
      <w:r w:rsidRPr="00EF77F8">
        <w:rPr>
          <w:rFonts w:ascii="Verdana" w:hAnsi="Verdana"/>
          <w:b/>
          <w:bCs/>
          <w:sz w:val="18"/>
          <w:szCs w:val="18"/>
          <w:lang w:val="es-MX"/>
        </w:rPr>
        <w:t xml:space="preserve"> </w:t>
      </w:r>
      <w:r w:rsidRPr="00F11C01">
        <w:rPr>
          <w:rFonts w:ascii="Verdana" w:hAnsi="Verdana"/>
          <w:sz w:val="18"/>
          <w:szCs w:val="18"/>
          <w:lang w:val="es-MX"/>
        </w:rPr>
        <w:t>Considerando 9).</w:t>
      </w:r>
    </w:p>
    <w:p w14:paraId="1EC05F56" w14:textId="77777777" w:rsidR="003415A0" w:rsidRPr="003415A0" w:rsidRDefault="003415A0" w:rsidP="00EF77F8">
      <w:pPr>
        <w:ind w:left="360"/>
        <w:rPr>
          <w:rFonts w:ascii="Verdana" w:hAnsi="Verdana"/>
          <w:sz w:val="20"/>
          <w:szCs w:val="20"/>
          <w:lang w:val="es-MX"/>
        </w:rPr>
      </w:pPr>
    </w:p>
    <w:sectPr w:rsidR="003415A0" w:rsidRPr="003415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8F00" w14:textId="77777777" w:rsidR="00F209C0" w:rsidRDefault="00F209C0" w:rsidP="00F209C0">
      <w:pPr>
        <w:spacing w:after="0" w:line="240" w:lineRule="auto"/>
      </w:pPr>
      <w:r>
        <w:separator/>
      </w:r>
    </w:p>
  </w:endnote>
  <w:endnote w:type="continuationSeparator" w:id="0">
    <w:p w14:paraId="7B71D2C8" w14:textId="77777777" w:rsidR="00F209C0" w:rsidRDefault="00F209C0" w:rsidP="00F2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4240" w14:textId="77777777" w:rsidR="00F209C0" w:rsidRPr="00A950A1" w:rsidRDefault="00F209C0" w:rsidP="00F209C0">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A8853A4" w14:textId="77777777" w:rsidR="00F209C0" w:rsidRPr="00F209C0" w:rsidRDefault="00F209C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1D63" w14:textId="77777777" w:rsidR="00F209C0" w:rsidRDefault="00F209C0" w:rsidP="00F209C0">
      <w:pPr>
        <w:spacing w:after="0" w:line="240" w:lineRule="auto"/>
      </w:pPr>
      <w:r>
        <w:separator/>
      </w:r>
    </w:p>
  </w:footnote>
  <w:footnote w:type="continuationSeparator" w:id="0">
    <w:p w14:paraId="58EDDAFC" w14:textId="77777777" w:rsidR="00F209C0" w:rsidRDefault="00F209C0" w:rsidP="00F2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765799324"/>
      <w:docPartObj>
        <w:docPartGallery w:val="Page Numbers (Top of Page)"/>
        <w:docPartUnique/>
      </w:docPartObj>
    </w:sdtPr>
    <w:sdtEndPr>
      <w:rPr>
        <w:noProof/>
      </w:rPr>
    </w:sdtEndPr>
    <w:sdtContent>
      <w:p w14:paraId="7969ED0D" w14:textId="77777777" w:rsidR="00F209C0" w:rsidRPr="00F209C0" w:rsidRDefault="00F209C0">
        <w:pPr>
          <w:pStyle w:val="Encabezado"/>
          <w:jc w:val="right"/>
          <w:rPr>
            <w:rFonts w:ascii="Verdana" w:hAnsi="Verdana"/>
            <w:sz w:val="20"/>
            <w:szCs w:val="20"/>
          </w:rPr>
        </w:pPr>
        <w:r w:rsidRPr="00F209C0">
          <w:rPr>
            <w:rFonts w:ascii="Verdana" w:hAnsi="Verdana"/>
            <w:sz w:val="20"/>
            <w:szCs w:val="20"/>
          </w:rPr>
          <w:fldChar w:fldCharType="begin"/>
        </w:r>
        <w:r w:rsidRPr="00F209C0">
          <w:rPr>
            <w:rFonts w:ascii="Verdana" w:hAnsi="Verdana"/>
            <w:sz w:val="20"/>
            <w:szCs w:val="20"/>
          </w:rPr>
          <w:instrText xml:space="preserve"> PAGE   \* MERGEFORMAT </w:instrText>
        </w:r>
        <w:r w:rsidRPr="00F209C0">
          <w:rPr>
            <w:rFonts w:ascii="Verdana" w:hAnsi="Verdana"/>
            <w:sz w:val="20"/>
            <w:szCs w:val="20"/>
          </w:rPr>
          <w:fldChar w:fldCharType="separate"/>
        </w:r>
        <w:r w:rsidR="003415A0">
          <w:rPr>
            <w:rFonts w:ascii="Verdana" w:hAnsi="Verdana"/>
            <w:noProof/>
            <w:sz w:val="20"/>
            <w:szCs w:val="20"/>
          </w:rPr>
          <w:t>2</w:t>
        </w:r>
        <w:r w:rsidRPr="00F209C0">
          <w:rPr>
            <w:rFonts w:ascii="Verdana" w:hAnsi="Verdana"/>
            <w:noProof/>
            <w:sz w:val="20"/>
            <w:szCs w:val="20"/>
          </w:rPr>
          <w:fldChar w:fldCharType="end"/>
        </w:r>
      </w:p>
    </w:sdtContent>
  </w:sdt>
  <w:p w14:paraId="6FB7FA77" w14:textId="77777777" w:rsidR="00F209C0" w:rsidRPr="00F209C0" w:rsidRDefault="00F209C0">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2E3"/>
    <w:multiLevelType w:val="hybridMultilevel"/>
    <w:tmpl w:val="4AFE5158"/>
    <w:lvl w:ilvl="0" w:tplc="FFFFFFFF">
      <w:start w:val="4"/>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86B1AD6"/>
    <w:multiLevelType w:val="hybridMultilevel"/>
    <w:tmpl w:val="785030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F03A5F"/>
    <w:multiLevelType w:val="hybridMultilevel"/>
    <w:tmpl w:val="6DE8CC7A"/>
    <w:lvl w:ilvl="0" w:tplc="88FE19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B1818"/>
    <w:multiLevelType w:val="hybridMultilevel"/>
    <w:tmpl w:val="47366218"/>
    <w:lvl w:ilvl="0" w:tplc="AC52440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A85108"/>
    <w:multiLevelType w:val="hybridMultilevel"/>
    <w:tmpl w:val="4ED4A3F6"/>
    <w:lvl w:ilvl="0" w:tplc="0534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A153B"/>
    <w:multiLevelType w:val="hybridMultilevel"/>
    <w:tmpl w:val="467C93A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730550F3"/>
    <w:multiLevelType w:val="hybridMultilevel"/>
    <w:tmpl w:val="5FFEFA2E"/>
    <w:lvl w:ilvl="0" w:tplc="0534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C0"/>
    <w:rsid w:val="000213C7"/>
    <w:rsid w:val="00090703"/>
    <w:rsid w:val="003415A0"/>
    <w:rsid w:val="003A7E5E"/>
    <w:rsid w:val="008F633C"/>
    <w:rsid w:val="009832C0"/>
    <w:rsid w:val="00BB6513"/>
    <w:rsid w:val="00D17681"/>
    <w:rsid w:val="00EF77F8"/>
    <w:rsid w:val="00F2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EB33"/>
  <w15:docId w15:val="{DC4D72A5-3FAC-4895-83B2-9D66D769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qFormat/>
    <w:rsid w:val="00F209C0"/>
    <w:pPr>
      <w:keepNext/>
      <w:spacing w:after="0" w:line="360" w:lineRule="auto"/>
      <w:outlineLvl w:val="3"/>
    </w:pPr>
    <w:rPr>
      <w:rFonts w:ascii="Garamond" w:eastAsia="Times" w:hAnsi="Garamond"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F209C0"/>
    <w:rPr>
      <w:rFonts w:ascii="Garamond" w:eastAsia="Times" w:hAnsi="Garamond" w:cs="Times New Roman"/>
      <w:b/>
      <w:sz w:val="24"/>
      <w:szCs w:val="20"/>
      <w:lang w:val="es-ES_tradnl" w:eastAsia="es-ES"/>
    </w:rPr>
  </w:style>
  <w:style w:type="paragraph" w:styleId="Encabezado">
    <w:name w:val="header"/>
    <w:basedOn w:val="Normal"/>
    <w:link w:val="EncabezadoCar"/>
    <w:uiPriority w:val="99"/>
    <w:unhideWhenUsed/>
    <w:rsid w:val="00F209C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209C0"/>
  </w:style>
  <w:style w:type="paragraph" w:styleId="Piedepgina">
    <w:name w:val="footer"/>
    <w:basedOn w:val="Normal"/>
    <w:link w:val="PiedepginaCar"/>
    <w:uiPriority w:val="99"/>
    <w:unhideWhenUsed/>
    <w:rsid w:val="00F209C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209C0"/>
  </w:style>
  <w:style w:type="paragraph" w:customStyle="1" w:styleId="Sangradetindependiente">
    <w:name w:val="Sangr’a de t. independiente"/>
    <w:basedOn w:val="Normal"/>
    <w:rsid w:val="00F209C0"/>
    <w:pPr>
      <w:spacing w:after="0" w:line="240" w:lineRule="auto"/>
      <w:jc w:val="both"/>
    </w:pPr>
    <w:rPr>
      <w:rFonts w:ascii="Helvetica" w:eastAsia="Times New Roman" w:hAnsi="Helvetica" w:cs="Times New Roman"/>
      <w:sz w:val="18"/>
      <w:szCs w:val="20"/>
      <w:lang w:val="es-ES_tradnl" w:eastAsia="es-ES"/>
    </w:rPr>
  </w:style>
  <w:style w:type="paragraph" w:styleId="Textoindependiente2">
    <w:name w:val="Body Text 2"/>
    <w:basedOn w:val="Normal"/>
    <w:link w:val="Textoindependiente2Car"/>
    <w:rsid w:val="00F209C0"/>
    <w:pPr>
      <w:widowControl w:val="0"/>
      <w:tabs>
        <w:tab w:val="left" w:pos="844"/>
        <w:tab w:val="left" w:pos="1547"/>
      </w:tabs>
      <w:spacing w:after="0" w:line="240" w:lineRule="auto"/>
      <w:ind w:left="1440"/>
      <w:jc w:val="both"/>
    </w:pPr>
    <w:rPr>
      <w:rFonts w:ascii="Garamond" w:eastAsia="Times New Roman" w:hAnsi="Garamond" w:cs="Times New Roman"/>
      <w:b/>
      <w:sz w:val="24"/>
      <w:szCs w:val="20"/>
      <w:u w:val="single"/>
      <w:lang w:val="es-MX" w:eastAsia="es-ES"/>
    </w:rPr>
  </w:style>
  <w:style w:type="character" w:customStyle="1" w:styleId="Textoindependiente2Car">
    <w:name w:val="Texto independiente 2 Car"/>
    <w:basedOn w:val="Fuentedeprrafopredeter"/>
    <w:link w:val="Textoindependiente2"/>
    <w:rsid w:val="00F209C0"/>
    <w:rPr>
      <w:rFonts w:ascii="Garamond" w:eastAsia="Times New Roman" w:hAnsi="Garamond" w:cs="Times New Roman"/>
      <w:b/>
      <w:sz w:val="24"/>
      <w:szCs w:val="20"/>
      <w:u w:val="single"/>
      <w:lang w:val="es-MX" w:eastAsia="es-ES"/>
    </w:rPr>
  </w:style>
  <w:style w:type="paragraph" w:styleId="Textoindependiente">
    <w:name w:val="Body Text"/>
    <w:basedOn w:val="Normal"/>
    <w:link w:val="TextoindependienteCar"/>
    <w:rsid w:val="00F209C0"/>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F209C0"/>
    <w:rPr>
      <w:rFonts w:ascii="Times New Roman" w:eastAsia="Times New Roman" w:hAnsi="Times New Roman" w:cs="Times New Roman"/>
      <w:sz w:val="24"/>
      <w:szCs w:val="20"/>
      <w:lang w:val="es-ES_tradnl" w:eastAsia="es-ES"/>
    </w:rPr>
  </w:style>
  <w:style w:type="paragraph" w:customStyle="1" w:styleId="Lneadereferencia">
    <w:name w:val="Línea de referencia"/>
    <w:basedOn w:val="Textoindependiente"/>
    <w:rsid w:val="00F209C0"/>
    <w:pPr>
      <w:widowControl/>
    </w:pPr>
    <w:rPr>
      <w:rFonts w:ascii="Garamond" w:eastAsia="Times" w:hAnsi="Garamond"/>
    </w:rPr>
  </w:style>
  <w:style w:type="paragraph" w:styleId="Sangradetextonormal">
    <w:name w:val="Body Text Indent"/>
    <w:basedOn w:val="Normal"/>
    <w:link w:val="SangradetextonormalCar"/>
    <w:rsid w:val="00F209C0"/>
    <w:pPr>
      <w:spacing w:after="0" w:line="360" w:lineRule="auto"/>
      <w:ind w:left="90"/>
      <w:jc w:val="both"/>
    </w:pPr>
    <w:rPr>
      <w:rFonts w:ascii="Garamond" w:eastAsia="Times" w:hAnsi="Garamond" w:cs="Times New Roman"/>
      <w:sz w:val="24"/>
      <w:szCs w:val="20"/>
      <w:lang w:val="es-ES_tradnl" w:eastAsia="es-ES"/>
    </w:rPr>
  </w:style>
  <w:style w:type="character" w:customStyle="1" w:styleId="SangradetextonormalCar">
    <w:name w:val="Sangría de texto normal Car"/>
    <w:basedOn w:val="Fuentedeprrafopredeter"/>
    <w:link w:val="Sangradetextonormal"/>
    <w:rsid w:val="00F209C0"/>
    <w:rPr>
      <w:rFonts w:ascii="Garamond" w:eastAsia="Times" w:hAnsi="Garamond" w:cs="Times New Roman"/>
      <w:sz w:val="24"/>
      <w:szCs w:val="20"/>
      <w:lang w:val="es-ES_tradnl" w:eastAsia="es-ES"/>
    </w:rPr>
  </w:style>
  <w:style w:type="paragraph" w:styleId="Sangra3detindependiente">
    <w:name w:val="Body Text Indent 3"/>
    <w:basedOn w:val="Normal"/>
    <w:link w:val="Sangra3detindependienteCar"/>
    <w:rsid w:val="00F209C0"/>
    <w:pPr>
      <w:spacing w:after="0" w:line="240" w:lineRule="auto"/>
      <w:ind w:left="720"/>
      <w:jc w:val="both"/>
    </w:pPr>
    <w:rPr>
      <w:rFonts w:ascii="Garamond" w:eastAsia="Times" w:hAnsi="Garamond"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F209C0"/>
    <w:rPr>
      <w:rFonts w:ascii="Garamond" w:eastAsia="Times" w:hAnsi="Garamond" w:cs="Times New Roman"/>
      <w:sz w:val="24"/>
      <w:szCs w:val="20"/>
      <w:lang w:val="es-ES_tradnl" w:eastAsia="es-ES"/>
    </w:rPr>
  </w:style>
  <w:style w:type="paragraph" w:styleId="Prrafodelista">
    <w:name w:val="List Paragraph"/>
    <w:basedOn w:val="Normal"/>
    <w:uiPriority w:val="34"/>
    <w:qFormat/>
    <w:rsid w:val="00F209C0"/>
    <w:pPr>
      <w:ind w:left="720"/>
      <w:contextualSpacing/>
    </w:pPr>
  </w:style>
  <w:style w:type="paragraph" w:styleId="Textonotapie">
    <w:name w:val="footnote text"/>
    <w:basedOn w:val="Normal"/>
    <w:link w:val="TextonotapieCar"/>
    <w:uiPriority w:val="99"/>
    <w:semiHidden/>
    <w:unhideWhenUsed/>
    <w:rsid w:val="003415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15A0"/>
    <w:rPr>
      <w:sz w:val="20"/>
      <w:szCs w:val="20"/>
    </w:rPr>
  </w:style>
  <w:style w:type="character" w:styleId="Refdenotaalpie">
    <w:name w:val="footnote reference"/>
    <w:basedOn w:val="Fuentedeprrafopredeter"/>
    <w:rsid w:val="00341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8257</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2</cp:revision>
  <dcterms:created xsi:type="dcterms:W3CDTF">2021-12-31T00:24:00Z</dcterms:created>
  <dcterms:modified xsi:type="dcterms:W3CDTF">2021-12-31T00:24:00Z</dcterms:modified>
</cp:coreProperties>
</file>