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4946" w14:textId="77777777" w:rsidR="00CC02B1" w:rsidRPr="0057368D" w:rsidRDefault="00CC02B1" w:rsidP="00CC02B1">
      <w:pPr>
        <w:jc w:val="center"/>
        <w:rPr>
          <w:rFonts w:ascii="Verdana" w:hAnsi="Verdana"/>
          <w:b/>
          <w:sz w:val="20"/>
          <w:u w:val="single"/>
          <w:lang w:val="es-ES"/>
        </w:rPr>
      </w:pPr>
      <w:r w:rsidRPr="00CC02B1">
        <w:rPr>
          <w:rFonts w:ascii="Verdana" w:hAnsi="Verdana"/>
          <w:b/>
          <w:sz w:val="20"/>
          <w:u w:val="single"/>
          <w:lang w:val="es-ES"/>
        </w:rPr>
        <w:t>Caso de la “Panel B</w:t>
      </w:r>
      <w:r w:rsidRPr="0057368D">
        <w:rPr>
          <w:rFonts w:ascii="Verdana" w:hAnsi="Verdana"/>
          <w:b/>
          <w:sz w:val="20"/>
          <w:u w:val="single"/>
          <w:lang w:val="es-ES"/>
        </w:rPr>
        <w:t xml:space="preserve">lanca” (Paniagua Morales y otros) </w:t>
      </w:r>
      <w:r w:rsidRPr="0057368D">
        <w:rPr>
          <w:rFonts w:ascii="Verdana" w:hAnsi="Verdana"/>
          <w:b/>
          <w:i/>
          <w:sz w:val="20"/>
          <w:u w:val="single"/>
          <w:lang w:val="es-ES"/>
        </w:rPr>
        <w:t>Vs</w:t>
      </w:r>
      <w:r w:rsidRPr="0057368D">
        <w:rPr>
          <w:rFonts w:ascii="Verdana" w:hAnsi="Verdana"/>
          <w:b/>
          <w:sz w:val="20"/>
          <w:u w:val="single"/>
          <w:lang w:val="es-ES"/>
        </w:rPr>
        <w:t>. Guatemala: reparaciones declaradas cumplidas</w:t>
      </w:r>
    </w:p>
    <w:p w14:paraId="70C9EB4B" w14:textId="77777777" w:rsidR="00CC02B1" w:rsidRPr="0057368D" w:rsidRDefault="00CC02B1">
      <w:pPr>
        <w:rPr>
          <w:rFonts w:ascii="Verdana" w:hAnsi="Verdana"/>
          <w:sz w:val="20"/>
        </w:rPr>
      </w:pPr>
    </w:p>
    <w:p w14:paraId="0D54A212" w14:textId="1633D8B8" w:rsidR="00CC02B1" w:rsidRPr="0057368D" w:rsidRDefault="00C727A2" w:rsidP="00C727A2">
      <w:pPr>
        <w:pStyle w:val="Textoindependiente"/>
        <w:widowControl/>
        <w:numPr>
          <w:ilvl w:val="0"/>
          <w:numId w:val="1"/>
        </w:numPr>
        <w:ind w:left="360" w:right="-720"/>
        <w:rPr>
          <w:rFonts w:ascii="Verdana" w:hAnsi="Verdana"/>
          <w:sz w:val="20"/>
          <w:lang w:val="es-ES_tradnl"/>
        </w:rPr>
      </w:pPr>
      <w:r w:rsidRPr="0057368D">
        <w:rPr>
          <w:rFonts w:ascii="Verdana" w:hAnsi="Verdana"/>
          <w:sz w:val="20"/>
          <w:lang w:val="es-ES_tradnl"/>
        </w:rPr>
        <w:t>B</w:t>
      </w:r>
      <w:r w:rsidR="00CC02B1" w:rsidRPr="0057368D">
        <w:rPr>
          <w:rFonts w:ascii="Verdana" w:hAnsi="Verdana"/>
          <w:sz w:val="20"/>
          <w:lang w:val="es-ES_tradnl"/>
        </w:rPr>
        <w:t xml:space="preserve">rindar los recursos y adoptar las demás medidas necesarias para el traslado de los restos mortales de Pablo Corado Barrientos y su posterior inhumación en el lugar de elección de sus familiares, en los términos del párrafo 204 de </w:t>
      </w:r>
      <w:r w:rsidR="009D40AC">
        <w:rPr>
          <w:rFonts w:ascii="Verdana" w:hAnsi="Verdana"/>
          <w:sz w:val="20"/>
          <w:lang w:val="es-ES_tradnl"/>
        </w:rPr>
        <w:t>la</w:t>
      </w:r>
      <w:r w:rsidR="00CC02B1" w:rsidRPr="0057368D">
        <w:rPr>
          <w:rFonts w:ascii="Verdana" w:hAnsi="Verdana"/>
          <w:sz w:val="20"/>
          <w:lang w:val="es-ES_tradnl"/>
        </w:rPr>
        <w:t xml:space="preserve"> </w:t>
      </w:r>
      <w:r w:rsidR="009D40AC">
        <w:rPr>
          <w:rFonts w:ascii="Verdana" w:hAnsi="Verdana"/>
          <w:sz w:val="20"/>
          <w:lang w:val="es-ES_tradnl"/>
        </w:rPr>
        <w:t>S</w:t>
      </w:r>
      <w:r w:rsidR="00CC02B1" w:rsidRPr="0057368D">
        <w:rPr>
          <w:rFonts w:ascii="Verdana" w:hAnsi="Verdana"/>
          <w:sz w:val="20"/>
          <w:lang w:val="es-ES_tradnl"/>
        </w:rPr>
        <w:t>entencia.</w:t>
      </w:r>
    </w:p>
    <w:p w14:paraId="56951254" w14:textId="77777777" w:rsidR="0057368D" w:rsidRPr="0057368D" w:rsidRDefault="0057368D" w:rsidP="0057368D">
      <w:pPr>
        <w:pStyle w:val="Textoindependiente"/>
        <w:widowControl/>
        <w:ind w:left="360" w:right="-720"/>
        <w:rPr>
          <w:rFonts w:ascii="Verdana" w:hAnsi="Verdana"/>
          <w:sz w:val="20"/>
          <w:lang w:val="es-ES_tradnl"/>
        </w:rPr>
      </w:pPr>
    </w:p>
    <w:p w14:paraId="32BC32A4" w14:textId="7EEBB52C" w:rsidR="0057368D" w:rsidRPr="0057368D" w:rsidRDefault="0057368D" w:rsidP="00C727A2">
      <w:pPr>
        <w:pStyle w:val="Textoindependiente"/>
        <w:widowControl/>
        <w:numPr>
          <w:ilvl w:val="0"/>
          <w:numId w:val="1"/>
        </w:numPr>
        <w:ind w:left="360" w:right="-720"/>
        <w:rPr>
          <w:rFonts w:ascii="Verdana" w:hAnsi="Verdana"/>
          <w:sz w:val="20"/>
          <w:lang w:val="es-ES_tradnl"/>
        </w:rPr>
      </w:pPr>
      <w:r w:rsidRPr="0057368D">
        <w:rPr>
          <w:rFonts w:ascii="Verdana" w:hAnsi="Verdana"/>
          <w:sz w:val="20"/>
        </w:rPr>
        <w:t>P</w:t>
      </w:r>
      <w:r w:rsidRPr="0057368D">
        <w:rPr>
          <w:rFonts w:ascii="Verdana" w:hAnsi="Verdana"/>
          <w:sz w:val="20"/>
        </w:rPr>
        <w:t>agar a las víctimas o sus familiares las cantidades fijadas en los párrafos 88 a 188 de la Sentencia de reparaciones y costas por concepto de las indemnizaciones por daños materiales e inmateriales</w:t>
      </w:r>
      <w:r w:rsidRPr="0057368D">
        <w:rPr>
          <w:rFonts w:ascii="Verdana" w:hAnsi="Verdana"/>
          <w:sz w:val="20"/>
        </w:rPr>
        <w:t xml:space="preserve">. </w:t>
      </w:r>
      <w:r w:rsidRPr="0057368D">
        <w:rPr>
          <w:rFonts w:ascii="Verdana" w:hAnsi="Verdana"/>
          <w:sz w:val="20"/>
        </w:rPr>
        <w:t>Respecto de las víctimas Augusto Angárita Ramírez, Doris Torres Gil y Marco Antonio Montes Letona no subsiste la obligación del Estado de pagarles las indemnizaciones por las razones indicadas en el Considerando 10</w:t>
      </w:r>
      <w:r w:rsidRPr="0057368D">
        <w:rPr>
          <w:rFonts w:ascii="Verdana" w:hAnsi="Verdana"/>
          <w:sz w:val="20"/>
        </w:rPr>
        <w:t xml:space="preserve"> de la resolución de la Corte de 21 de noviembre de 2023.</w:t>
      </w:r>
    </w:p>
    <w:p w14:paraId="555C30B1" w14:textId="77777777" w:rsidR="0057368D" w:rsidRPr="0057368D" w:rsidRDefault="0057368D" w:rsidP="0057368D">
      <w:pPr>
        <w:pStyle w:val="Prrafodelista"/>
        <w:rPr>
          <w:rFonts w:ascii="Verdana" w:hAnsi="Verdana"/>
          <w:sz w:val="20"/>
          <w:lang w:val="es-ES_tradnl"/>
        </w:rPr>
      </w:pPr>
    </w:p>
    <w:p w14:paraId="7DE1AAA3" w14:textId="10015D5C" w:rsidR="0057368D" w:rsidRPr="0057368D" w:rsidRDefault="0057368D" w:rsidP="00C727A2">
      <w:pPr>
        <w:pStyle w:val="Textoindependiente"/>
        <w:widowControl/>
        <w:numPr>
          <w:ilvl w:val="0"/>
          <w:numId w:val="1"/>
        </w:numPr>
        <w:ind w:left="360" w:right="-720"/>
        <w:rPr>
          <w:rFonts w:ascii="Verdana" w:hAnsi="Verdana"/>
          <w:sz w:val="20"/>
          <w:lang w:val="es-ES_tradnl"/>
        </w:rPr>
      </w:pPr>
      <w:r w:rsidRPr="0057368D">
        <w:rPr>
          <w:rFonts w:ascii="Verdana" w:hAnsi="Verdana"/>
          <w:sz w:val="20"/>
        </w:rPr>
        <w:t>P</w:t>
      </w:r>
      <w:r w:rsidRPr="0057368D">
        <w:rPr>
          <w:rFonts w:ascii="Verdana" w:hAnsi="Verdana"/>
          <w:sz w:val="20"/>
        </w:rPr>
        <w:t>agar a los representantes de las víctimas las cantidades fijadas en el párrafo 217 de la Sentencia de reparaciones y costas por concepto de reintegro de costas y gastos</w:t>
      </w:r>
    </w:p>
    <w:p w14:paraId="02DA4FE7" w14:textId="77777777" w:rsidR="00CC02B1" w:rsidRPr="0057368D" w:rsidRDefault="00CC02B1">
      <w:pPr>
        <w:rPr>
          <w:rFonts w:ascii="Verdana" w:hAnsi="Verdana"/>
          <w:sz w:val="20"/>
          <w:lang w:val="es-MX"/>
        </w:rPr>
      </w:pPr>
    </w:p>
    <w:p w14:paraId="0C380FB6" w14:textId="77777777" w:rsidR="00CC02B1" w:rsidRDefault="00CC02B1">
      <w:pPr>
        <w:rPr>
          <w:rFonts w:ascii="Verdana" w:hAnsi="Verdana"/>
          <w:b/>
          <w:sz w:val="20"/>
          <w:lang w:val="es-MX"/>
        </w:rPr>
      </w:pPr>
      <w:r w:rsidRPr="0057368D">
        <w:rPr>
          <w:rFonts w:ascii="Verdana" w:hAnsi="Verdana"/>
          <w:b/>
          <w:sz w:val="20"/>
          <w:lang w:val="es-MX"/>
        </w:rPr>
        <w:t>Cumplimiento parcial:</w:t>
      </w:r>
    </w:p>
    <w:p w14:paraId="5C1A8184" w14:textId="77777777" w:rsidR="009D40AC" w:rsidRPr="0057368D" w:rsidRDefault="009D40AC">
      <w:pPr>
        <w:rPr>
          <w:rFonts w:ascii="Verdana" w:hAnsi="Verdana"/>
          <w:b/>
          <w:sz w:val="20"/>
          <w:lang w:val="es-MX"/>
        </w:rPr>
      </w:pPr>
    </w:p>
    <w:p w14:paraId="14F21DA9" w14:textId="5177E94B" w:rsidR="00CC02B1" w:rsidRPr="0057368D" w:rsidRDefault="009D40AC" w:rsidP="00DE0455">
      <w:pPr>
        <w:pStyle w:val="Prrafodelista"/>
        <w:numPr>
          <w:ilvl w:val="0"/>
          <w:numId w:val="1"/>
        </w:numPr>
        <w:ind w:left="360"/>
        <w:jc w:val="both"/>
        <w:rPr>
          <w:rFonts w:ascii="Verdana" w:hAnsi="Verdana"/>
          <w:sz w:val="20"/>
          <w:lang w:val="es-ES_tradnl"/>
        </w:rPr>
      </w:pPr>
      <w:r>
        <w:rPr>
          <w:rFonts w:ascii="Verdana" w:hAnsi="Verdana"/>
          <w:sz w:val="20"/>
          <w:lang w:val="es-ES_tradnl"/>
        </w:rPr>
        <w:t>A</w:t>
      </w:r>
      <w:r w:rsidR="00CC02B1" w:rsidRPr="0057368D">
        <w:rPr>
          <w:rFonts w:ascii="Verdana" w:hAnsi="Verdana"/>
          <w:sz w:val="20"/>
          <w:lang w:val="es-ES_tradnl"/>
        </w:rPr>
        <w:t>doptar en su derecho interno, de acuerdo al artículo 2 de la Convención Americana sobre Derechos Humanos, las medidas legislativas, administrativas y de cualquier otra índole que sean necesarias con el objeto de garantizar la certeza y la publicidad del registro de detenidos en los términos de los párrafos 195 y 203 de la presente sentencia.</w:t>
      </w:r>
    </w:p>
    <w:p w14:paraId="2768A47A" w14:textId="77777777" w:rsidR="005456F8" w:rsidRPr="0057368D" w:rsidRDefault="005456F8" w:rsidP="00CC02B1">
      <w:pPr>
        <w:jc w:val="both"/>
        <w:rPr>
          <w:rFonts w:ascii="Verdana" w:hAnsi="Verdana"/>
          <w:color w:val="00B0F0"/>
          <w:sz w:val="20"/>
          <w:lang w:val="es-ES_tradnl"/>
        </w:rPr>
      </w:pPr>
    </w:p>
    <w:p w14:paraId="747AAC1E" w14:textId="77777777" w:rsidR="00C727A2" w:rsidRPr="0057368D" w:rsidRDefault="00C727A2" w:rsidP="00C727A2">
      <w:pPr>
        <w:jc w:val="both"/>
        <w:rPr>
          <w:rFonts w:ascii="Verdana" w:hAnsi="Verdana"/>
          <w:sz w:val="20"/>
          <w:lang w:val="es-MX"/>
        </w:rPr>
      </w:pPr>
      <w:r w:rsidRPr="0057368D">
        <w:rPr>
          <w:rFonts w:ascii="Verdana" w:hAnsi="Verdana"/>
          <w:sz w:val="20"/>
          <w:lang w:val="es-MX"/>
        </w:rPr>
        <w:t>En los Considerandos 28 a 31 de la resolución de la</w:t>
      </w:r>
      <w:r w:rsidR="004257DB" w:rsidRPr="0057368D">
        <w:rPr>
          <w:rFonts w:ascii="Verdana" w:hAnsi="Verdana"/>
          <w:sz w:val="20"/>
          <w:lang w:val="es-MX"/>
        </w:rPr>
        <w:t xml:space="preserve"> Corte de 28 de noviembre de 200</w:t>
      </w:r>
      <w:r w:rsidRPr="0057368D">
        <w:rPr>
          <w:rFonts w:ascii="Verdana" w:hAnsi="Verdana"/>
          <w:sz w:val="20"/>
          <w:lang w:val="es-MX"/>
        </w:rPr>
        <w:t>7 se explica lo que continúa pendiente de cumplimiento respecto a la presente medida de reparación:</w:t>
      </w:r>
    </w:p>
    <w:p w14:paraId="2129E5E6" w14:textId="77777777" w:rsidR="00C727A2" w:rsidRPr="0057368D" w:rsidRDefault="00C727A2" w:rsidP="00CC02B1">
      <w:pPr>
        <w:jc w:val="both"/>
        <w:rPr>
          <w:rFonts w:ascii="Verdana" w:hAnsi="Verdana"/>
          <w:color w:val="00B0F0"/>
          <w:sz w:val="20"/>
          <w:lang w:val="es-ES_tradnl"/>
        </w:rPr>
      </w:pPr>
    </w:p>
    <w:p w14:paraId="5F656AB7" w14:textId="601E142D" w:rsidR="005456F8" w:rsidRPr="0057368D" w:rsidRDefault="005456F8" w:rsidP="00396A54">
      <w:pPr>
        <w:ind w:left="360" w:right="720"/>
        <w:jc w:val="both"/>
        <w:rPr>
          <w:rFonts w:ascii="Verdana" w:hAnsi="Verdana"/>
          <w:sz w:val="20"/>
          <w:lang w:val="es-ES_tradnl"/>
        </w:rPr>
      </w:pPr>
      <w:r w:rsidRPr="0057368D">
        <w:rPr>
          <w:rFonts w:ascii="Verdana" w:hAnsi="Verdana"/>
          <w:sz w:val="20"/>
          <w:lang w:val="es-ES_tradnl"/>
        </w:rPr>
        <w:t xml:space="preserve">28. Que la Comisión, aunque valoró la adopción de esta normativa, afirmó que la misma se refiere únicamente al sistema penitenciario e interpretó que la decisión de la Corte en este punto “no hace referencia específica a personas detenidas en el sistema penitenciario, sino un registro de detenidos con una visión </w:t>
      </w:r>
      <w:r w:rsidRPr="0057368D">
        <w:rPr>
          <w:rFonts w:ascii="Verdana" w:hAnsi="Verdana"/>
          <w:i/>
          <w:sz w:val="20"/>
          <w:lang w:val="es-ES_tradnl"/>
        </w:rPr>
        <w:t>latu sensu</w:t>
      </w:r>
      <w:r w:rsidRPr="0057368D">
        <w:rPr>
          <w:rFonts w:ascii="Verdana" w:hAnsi="Verdana"/>
          <w:sz w:val="20"/>
          <w:lang w:val="es-ES_tradnl"/>
        </w:rPr>
        <w:t xml:space="preserve">, es decir, a toda persona privada de libertad en Guatemala”. </w:t>
      </w:r>
    </w:p>
    <w:p w14:paraId="242EC4D5" w14:textId="77777777" w:rsidR="004A4596" w:rsidRPr="0057368D" w:rsidRDefault="004A4596" w:rsidP="00396A54">
      <w:pPr>
        <w:ind w:left="360" w:right="720"/>
        <w:jc w:val="both"/>
        <w:rPr>
          <w:rFonts w:ascii="Verdana" w:hAnsi="Verdana"/>
          <w:sz w:val="20"/>
          <w:lang w:val="es-ES_tradnl"/>
        </w:rPr>
      </w:pPr>
    </w:p>
    <w:p w14:paraId="50BBD73B" w14:textId="3141E9DC" w:rsidR="005456F8" w:rsidRPr="0057368D" w:rsidRDefault="005456F8" w:rsidP="00396A54">
      <w:pPr>
        <w:ind w:left="360" w:right="720"/>
        <w:jc w:val="both"/>
        <w:rPr>
          <w:rFonts w:ascii="Verdana" w:hAnsi="Verdana"/>
          <w:sz w:val="20"/>
          <w:lang w:val="es-ES_tradnl"/>
        </w:rPr>
      </w:pPr>
      <w:r w:rsidRPr="0057368D">
        <w:rPr>
          <w:rFonts w:ascii="Verdana" w:hAnsi="Verdana"/>
          <w:sz w:val="20"/>
          <w:lang w:val="es-ES_tradnl"/>
        </w:rPr>
        <w:t>29.</w:t>
      </w:r>
      <w:r w:rsidRPr="0057368D">
        <w:rPr>
          <w:rFonts w:ascii="Verdana" w:hAnsi="Verdana"/>
          <w:sz w:val="20"/>
          <w:lang w:val="es-ES_tradnl"/>
        </w:rPr>
        <w:tab/>
        <w:t>Que en respuesta a lo afirmado por la Comisión, el Estado indicó que comparte la idea de que se cree un registro de toda persona privada de libertad.</w:t>
      </w:r>
    </w:p>
    <w:p w14:paraId="48B56587" w14:textId="77777777" w:rsidR="004A4596" w:rsidRPr="0057368D" w:rsidRDefault="004A4596" w:rsidP="00396A54">
      <w:pPr>
        <w:ind w:left="360" w:right="720"/>
        <w:jc w:val="both"/>
        <w:rPr>
          <w:rFonts w:ascii="Verdana" w:hAnsi="Verdana"/>
          <w:sz w:val="20"/>
          <w:lang w:val="es-ES_tradnl"/>
        </w:rPr>
      </w:pPr>
    </w:p>
    <w:p w14:paraId="513CC9B9" w14:textId="7204C641" w:rsidR="005456F8" w:rsidRPr="0057368D" w:rsidRDefault="005456F8" w:rsidP="00396A54">
      <w:pPr>
        <w:ind w:left="360" w:right="720"/>
        <w:jc w:val="both"/>
        <w:rPr>
          <w:rFonts w:ascii="Verdana" w:hAnsi="Verdana"/>
          <w:sz w:val="20"/>
          <w:lang w:val="es-ES_tradnl"/>
        </w:rPr>
      </w:pPr>
      <w:r w:rsidRPr="0057368D">
        <w:rPr>
          <w:rFonts w:ascii="Verdana" w:hAnsi="Verdana"/>
          <w:sz w:val="20"/>
          <w:lang w:val="es-ES_tradnl"/>
        </w:rPr>
        <w:t>30.</w:t>
      </w:r>
      <w:r w:rsidRPr="0057368D">
        <w:rPr>
          <w:rFonts w:ascii="Verdana" w:hAnsi="Verdana"/>
          <w:sz w:val="20"/>
          <w:lang w:val="es-ES_tradnl"/>
        </w:rPr>
        <w:tab/>
        <w:t>Que la Corte estima que, conforme a lo informado por el Estado, sería necesario la creación de un registro de personas privadas de libertad que abarque los centros de detención preventiva, los centros para adolescentes en conflicto con la ley, los centros de detención militar y los centros de detención policial.</w:t>
      </w:r>
    </w:p>
    <w:p w14:paraId="3C36A021" w14:textId="77777777" w:rsidR="004A4596" w:rsidRPr="0057368D" w:rsidRDefault="004A4596" w:rsidP="00396A54">
      <w:pPr>
        <w:ind w:left="360" w:right="720"/>
        <w:jc w:val="both"/>
        <w:rPr>
          <w:rFonts w:ascii="Verdana" w:hAnsi="Verdana"/>
          <w:sz w:val="20"/>
          <w:lang w:val="es-ES_tradnl"/>
        </w:rPr>
      </w:pPr>
    </w:p>
    <w:p w14:paraId="2413AF80" w14:textId="77777777" w:rsidR="005456F8" w:rsidRPr="0057368D" w:rsidRDefault="005456F8" w:rsidP="00396A54">
      <w:pPr>
        <w:ind w:left="360" w:right="720"/>
        <w:jc w:val="both"/>
        <w:rPr>
          <w:rFonts w:ascii="Verdana" w:hAnsi="Verdana"/>
          <w:sz w:val="20"/>
          <w:lang w:val="es-ES_tradnl"/>
        </w:rPr>
      </w:pPr>
      <w:r w:rsidRPr="0057368D">
        <w:rPr>
          <w:rFonts w:ascii="Verdana" w:hAnsi="Verdana"/>
          <w:sz w:val="20"/>
          <w:lang w:val="es-ES_tradnl"/>
        </w:rPr>
        <w:t>31.</w:t>
      </w:r>
      <w:r w:rsidRPr="0057368D">
        <w:rPr>
          <w:rFonts w:ascii="Verdana" w:hAnsi="Verdana"/>
          <w:sz w:val="20"/>
          <w:lang w:val="es-ES_tradnl"/>
        </w:rPr>
        <w:tab/>
        <w:t>Que en razón de lo anterior, la Corte considera que el Estado ha dado cumplimiento parcial al punto resolutivo cuarto de la Sentencia de reparaciones y que, consecuentemente, queda pendiente que el Estado establezca un registro que incluya a todas las personas privadas de su libertad.</w:t>
      </w:r>
    </w:p>
    <w:p w14:paraId="22408D8E" w14:textId="77777777" w:rsidR="005456F8" w:rsidRPr="005456F8" w:rsidRDefault="005456F8" w:rsidP="00CC02B1">
      <w:pPr>
        <w:jc w:val="both"/>
        <w:rPr>
          <w:rFonts w:ascii="Verdana" w:hAnsi="Verdana"/>
          <w:b/>
          <w:sz w:val="20"/>
          <w:lang w:val="es-ES_tradnl"/>
        </w:rPr>
      </w:pPr>
    </w:p>
    <w:sectPr w:rsidR="005456F8" w:rsidRPr="005456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91C4" w14:textId="77777777" w:rsidR="00CC02B1" w:rsidRDefault="00CC02B1" w:rsidP="00CC02B1">
      <w:r>
        <w:separator/>
      </w:r>
    </w:p>
  </w:endnote>
  <w:endnote w:type="continuationSeparator" w:id="0">
    <w:p w14:paraId="40687AB1" w14:textId="77777777" w:rsidR="00CC02B1" w:rsidRDefault="00CC02B1" w:rsidP="00CC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CC5A" w14:textId="77777777" w:rsidR="00CC02B1" w:rsidRPr="00A950A1" w:rsidRDefault="00CC02B1" w:rsidP="00CC02B1">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E4479F4" w14:textId="77777777" w:rsidR="00CC02B1" w:rsidRPr="00CC02B1" w:rsidRDefault="00CC02B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4213" w14:textId="77777777" w:rsidR="00CC02B1" w:rsidRDefault="00CC02B1" w:rsidP="00CC02B1">
      <w:r>
        <w:separator/>
      </w:r>
    </w:p>
  </w:footnote>
  <w:footnote w:type="continuationSeparator" w:id="0">
    <w:p w14:paraId="38A796FE" w14:textId="77777777" w:rsidR="00CC02B1" w:rsidRDefault="00CC02B1" w:rsidP="00CC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86143"/>
      <w:docPartObj>
        <w:docPartGallery w:val="Page Numbers (Top of Page)"/>
        <w:docPartUnique/>
      </w:docPartObj>
    </w:sdtPr>
    <w:sdtEndPr>
      <w:rPr>
        <w:noProof/>
      </w:rPr>
    </w:sdtEndPr>
    <w:sdtContent>
      <w:p w14:paraId="0AE7DEAF" w14:textId="77777777" w:rsidR="00CC02B1" w:rsidRDefault="00CC02B1">
        <w:pPr>
          <w:pStyle w:val="Encabezado"/>
          <w:jc w:val="right"/>
        </w:pPr>
        <w:r w:rsidRPr="00CC02B1">
          <w:rPr>
            <w:rFonts w:ascii="Verdana" w:hAnsi="Verdana"/>
            <w:sz w:val="20"/>
          </w:rPr>
          <w:fldChar w:fldCharType="begin"/>
        </w:r>
        <w:r w:rsidRPr="00CC02B1">
          <w:rPr>
            <w:rFonts w:ascii="Verdana" w:hAnsi="Verdana"/>
            <w:sz w:val="20"/>
          </w:rPr>
          <w:instrText xml:space="preserve"> PAGE   \* MERGEFORMAT </w:instrText>
        </w:r>
        <w:r w:rsidRPr="00CC02B1">
          <w:rPr>
            <w:rFonts w:ascii="Verdana" w:hAnsi="Verdana"/>
            <w:sz w:val="20"/>
          </w:rPr>
          <w:fldChar w:fldCharType="separate"/>
        </w:r>
        <w:r w:rsidR="00EC34B8">
          <w:rPr>
            <w:rFonts w:ascii="Verdana" w:hAnsi="Verdana"/>
            <w:noProof/>
            <w:sz w:val="20"/>
          </w:rPr>
          <w:t>1</w:t>
        </w:r>
        <w:r w:rsidRPr="00CC02B1">
          <w:rPr>
            <w:rFonts w:ascii="Verdana" w:hAnsi="Verdana"/>
            <w:noProof/>
            <w:sz w:val="20"/>
          </w:rPr>
          <w:fldChar w:fldCharType="end"/>
        </w:r>
      </w:p>
    </w:sdtContent>
  </w:sdt>
  <w:p w14:paraId="7C569D64" w14:textId="77777777" w:rsidR="00CC02B1" w:rsidRDefault="00CC02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06B"/>
    <w:multiLevelType w:val="hybridMultilevel"/>
    <w:tmpl w:val="2A52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93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B1"/>
    <w:rsid w:val="002C4E79"/>
    <w:rsid w:val="00396A54"/>
    <w:rsid w:val="003A7E5E"/>
    <w:rsid w:val="004257DB"/>
    <w:rsid w:val="00482FC9"/>
    <w:rsid w:val="004A4596"/>
    <w:rsid w:val="005456F8"/>
    <w:rsid w:val="0057368D"/>
    <w:rsid w:val="0085423D"/>
    <w:rsid w:val="00934BBA"/>
    <w:rsid w:val="009832C0"/>
    <w:rsid w:val="009D40AC"/>
    <w:rsid w:val="00C727A2"/>
    <w:rsid w:val="00CC02B1"/>
    <w:rsid w:val="00CF71B4"/>
    <w:rsid w:val="00DE0455"/>
    <w:rsid w:val="00EC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3926"/>
  <w15:docId w15:val="{C77A8A8E-37AD-4428-82E5-10651CA9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2B1"/>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B1"/>
    <w:pPr>
      <w:tabs>
        <w:tab w:val="center" w:pos="4680"/>
        <w:tab w:val="right" w:pos="9360"/>
      </w:tabs>
    </w:pPr>
  </w:style>
  <w:style w:type="character" w:customStyle="1" w:styleId="EncabezadoCar">
    <w:name w:val="Encabezado Car"/>
    <w:basedOn w:val="Fuentedeprrafopredeter"/>
    <w:link w:val="Encabezado"/>
    <w:uiPriority w:val="99"/>
    <w:rsid w:val="00CC02B1"/>
    <w:rPr>
      <w:rFonts w:ascii="Times" w:eastAsia="Times New Roman" w:hAnsi="Times" w:cs="Times New Roman"/>
      <w:sz w:val="24"/>
      <w:szCs w:val="20"/>
      <w:lang w:eastAsia="es-ES"/>
    </w:rPr>
  </w:style>
  <w:style w:type="paragraph" w:styleId="Piedepgina">
    <w:name w:val="footer"/>
    <w:basedOn w:val="Normal"/>
    <w:link w:val="PiedepginaCar"/>
    <w:uiPriority w:val="99"/>
    <w:unhideWhenUsed/>
    <w:rsid w:val="00CC02B1"/>
    <w:pPr>
      <w:tabs>
        <w:tab w:val="center" w:pos="4680"/>
        <w:tab w:val="right" w:pos="9360"/>
      </w:tabs>
    </w:pPr>
  </w:style>
  <w:style w:type="character" w:customStyle="1" w:styleId="PiedepginaCar">
    <w:name w:val="Pie de página Car"/>
    <w:basedOn w:val="Fuentedeprrafopredeter"/>
    <w:link w:val="Piedepgina"/>
    <w:uiPriority w:val="99"/>
    <w:rsid w:val="00CC02B1"/>
    <w:rPr>
      <w:rFonts w:ascii="Times" w:eastAsia="Times New Roman" w:hAnsi="Times" w:cs="Times New Roman"/>
      <w:sz w:val="24"/>
      <w:szCs w:val="20"/>
      <w:lang w:eastAsia="es-ES"/>
    </w:rPr>
  </w:style>
  <w:style w:type="paragraph" w:styleId="Textoindependiente">
    <w:name w:val="Body Text"/>
    <w:basedOn w:val="Normal"/>
    <w:link w:val="TextoindependienteCar"/>
    <w:rsid w:val="00CC02B1"/>
    <w:pPr>
      <w:widowControl w:val="0"/>
      <w:jc w:val="both"/>
    </w:pPr>
    <w:rPr>
      <w:rFonts w:ascii="Times New Roman" w:hAnsi="Times New Roman"/>
      <w:lang w:val="es-ES"/>
    </w:rPr>
  </w:style>
  <w:style w:type="character" w:customStyle="1" w:styleId="TextoindependienteCar">
    <w:name w:val="Texto independiente Car"/>
    <w:basedOn w:val="Fuentedeprrafopredeter"/>
    <w:link w:val="Textoindependiente"/>
    <w:rsid w:val="00CC02B1"/>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CC02B1"/>
    <w:rPr>
      <w:vertAlign w:val="superscript"/>
    </w:rPr>
  </w:style>
  <w:style w:type="paragraph" w:styleId="Textonotapie">
    <w:name w:val="footnote text"/>
    <w:basedOn w:val="Normal"/>
    <w:link w:val="TextonotapieCar"/>
    <w:semiHidden/>
    <w:rsid w:val="00CC02B1"/>
    <w:rPr>
      <w:rFonts w:ascii="New York" w:hAnsi="New York"/>
      <w:sz w:val="20"/>
    </w:rPr>
  </w:style>
  <w:style w:type="character" w:customStyle="1" w:styleId="TextonotapieCar">
    <w:name w:val="Texto nota pie Car"/>
    <w:basedOn w:val="Fuentedeprrafopredeter"/>
    <w:link w:val="Textonotapie"/>
    <w:semiHidden/>
    <w:rsid w:val="00CC02B1"/>
    <w:rPr>
      <w:rFonts w:ascii="New York" w:eastAsia="Times New Roman" w:hAnsi="New York" w:cs="Times New Roman"/>
      <w:sz w:val="20"/>
      <w:szCs w:val="20"/>
      <w:lang w:eastAsia="es-ES"/>
    </w:rPr>
  </w:style>
  <w:style w:type="paragraph" w:customStyle="1" w:styleId="BodyText21">
    <w:name w:val="Body Text 21"/>
    <w:basedOn w:val="Normal"/>
    <w:rsid w:val="00CC02B1"/>
    <w:pPr>
      <w:widowControl w:val="0"/>
      <w:jc w:val="both"/>
    </w:pPr>
    <w:rPr>
      <w:rFonts w:ascii="Garamond" w:hAnsi="Garamond"/>
    </w:rPr>
  </w:style>
  <w:style w:type="paragraph" w:styleId="Prrafodelista">
    <w:name w:val="List Paragraph"/>
    <w:basedOn w:val="Normal"/>
    <w:uiPriority w:val="34"/>
    <w:qFormat/>
    <w:rsid w:val="00DE0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443</Words>
  <Characters>2256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5</cp:revision>
  <dcterms:created xsi:type="dcterms:W3CDTF">2021-12-30T23:52:00Z</dcterms:created>
  <dcterms:modified xsi:type="dcterms:W3CDTF">2024-01-07T23:21:00Z</dcterms:modified>
</cp:coreProperties>
</file>