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0A60" w14:textId="77777777" w:rsidR="00055C33" w:rsidRPr="00CC02B1" w:rsidRDefault="00055C33" w:rsidP="00055C33">
      <w:pPr>
        <w:jc w:val="center"/>
        <w:rPr>
          <w:rFonts w:ascii="Verdana" w:hAnsi="Verdana"/>
          <w:b/>
          <w:sz w:val="20"/>
          <w:u w:val="single"/>
          <w:lang w:val="es-ES"/>
        </w:rPr>
      </w:pPr>
      <w:r w:rsidRPr="00CC02B1">
        <w:rPr>
          <w:rFonts w:ascii="Verdana" w:hAnsi="Verdana"/>
          <w:b/>
          <w:sz w:val="20"/>
          <w:u w:val="single"/>
          <w:lang w:val="es-ES"/>
        </w:rPr>
        <w:t xml:space="preserve">Caso de la “Panel Blanca” (Paniagua Morales y otros) </w:t>
      </w:r>
      <w:r w:rsidRPr="00CC02B1">
        <w:rPr>
          <w:rFonts w:ascii="Verdana" w:hAnsi="Verdana"/>
          <w:b/>
          <w:i/>
          <w:sz w:val="20"/>
          <w:u w:val="single"/>
          <w:lang w:val="es-ES"/>
        </w:rPr>
        <w:t>Vs</w:t>
      </w:r>
      <w:r w:rsidRPr="00CC02B1">
        <w:rPr>
          <w:rFonts w:ascii="Verdana" w:hAnsi="Verdana"/>
          <w:b/>
          <w:sz w:val="20"/>
          <w:u w:val="single"/>
          <w:lang w:val="es-ES"/>
        </w:rPr>
        <w:t xml:space="preserve">. Guatemala: reparaciones </w:t>
      </w:r>
      <w:r>
        <w:rPr>
          <w:rFonts w:ascii="Verdana" w:hAnsi="Verdana"/>
          <w:b/>
          <w:sz w:val="20"/>
          <w:u w:val="single"/>
          <w:lang w:val="es-ES"/>
        </w:rPr>
        <w:t>pendientes de cumplimiento</w:t>
      </w:r>
    </w:p>
    <w:p w14:paraId="616F0555" w14:textId="77777777" w:rsidR="00406B56" w:rsidRDefault="00406B56">
      <w:pPr>
        <w:rPr>
          <w:lang w:val="es-ES_tradnl"/>
        </w:rPr>
      </w:pPr>
    </w:p>
    <w:p w14:paraId="7B2C8995" w14:textId="77777777" w:rsidR="003C753E" w:rsidRDefault="003C753E" w:rsidP="003C753E">
      <w:pPr>
        <w:pStyle w:val="Prrafodelista"/>
        <w:numPr>
          <w:ilvl w:val="0"/>
          <w:numId w:val="1"/>
        </w:numPr>
        <w:ind w:left="360" w:right="18"/>
        <w:jc w:val="both"/>
        <w:rPr>
          <w:rFonts w:ascii="Verdana" w:hAnsi="Verdana"/>
          <w:sz w:val="20"/>
          <w:lang w:val="es-ES_tradnl"/>
        </w:rPr>
      </w:pPr>
      <w:r>
        <w:rPr>
          <w:rFonts w:ascii="Verdana" w:hAnsi="Verdana"/>
          <w:sz w:val="20"/>
          <w:lang w:val="es-ES_tradnl"/>
        </w:rPr>
        <w:t>I</w:t>
      </w:r>
      <w:r w:rsidRPr="00B25FA2">
        <w:rPr>
          <w:rFonts w:ascii="Verdana" w:hAnsi="Verdana"/>
          <w:sz w:val="20"/>
          <w:lang w:val="es-ES_tradnl"/>
        </w:rPr>
        <w:t xml:space="preserve">nvestigar los hechos que generaron las violaciones de la Convención Americana sobre Derechos Humanos en el presente caso, identificar y sancionar a los responsables de </w:t>
      </w:r>
      <w:proofErr w:type="gramStart"/>
      <w:r w:rsidRPr="00B25FA2">
        <w:rPr>
          <w:rFonts w:ascii="Verdana" w:hAnsi="Verdana"/>
          <w:sz w:val="20"/>
          <w:lang w:val="es-ES_tradnl"/>
        </w:rPr>
        <w:t>las mismas</w:t>
      </w:r>
      <w:proofErr w:type="gramEnd"/>
      <w:r w:rsidRPr="00B25FA2">
        <w:rPr>
          <w:rFonts w:ascii="Verdana" w:hAnsi="Verdana"/>
          <w:sz w:val="20"/>
          <w:lang w:val="es-ES_tradnl"/>
        </w:rPr>
        <w:t>.</w:t>
      </w:r>
    </w:p>
    <w:p w14:paraId="76A7150F" w14:textId="77777777" w:rsidR="003C753E" w:rsidRDefault="003C753E" w:rsidP="00B25FA2">
      <w:pPr>
        <w:rPr>
          <w:rFonts w:ascii="Verdana" w:hAnsi="Verdana"/>
          <w:b/>
          <w:sz w:val="20"/>
          <w:lang w:val="es-MX"/>
        </w:rPr>
      </w:pPr>
    </w:p>
    <w:p w14:paraId="02DFCB14" w14:textId="77777777" w:rsidR="00B25FA2" w:rsidRDefault="00B25FA2" w:rsidP="00B25FA2">
      <w:pPr>
        <w:rPr>
          <w:rFonts w:ascii="Verdana" w:hAnsi="Verdana"/>
          <w:b/>
          <w:sz w:val="20"/>
          <w:lang w:val="es-MX"/>
        </w:rPr>
      </w:pPr>
      <w:r w:rsidRPr="00CC02B1">
        <w:rPr>
          <w:rFonts w:ascii="Verdana" w:hAnsi="Verdana"/>
          <w:b/>
          <w:sz w:val="20"/>
          <w:lang w:val="es-MX"/>
        </w:rPr>
        <w:t>Cumplimiento parcial:</w:t>
      </w:r>
    </w:p>
    <w:p w14:paraId="5E7E5DA9" w14:textId="77777777" w:rsidR="00406B56" w:rsidRDefault="00406B56" w:rsidP="00406B56">
      <w:pPr>
        <w:jc w:val="both"/>
        <w:rPr>
          <w:rFonts w:ascii="Verdana" w:hAnsi="Verdana"/>
          <w:color w:val="00B0F0"/>
          <w:sz w:val="20"/>
          <w:lang w:val="es-MX"/>
        </w:rPr>
      </w:pPr>
    </w:p>
    <w:p w14:paraId="30DBFA5C" w14:textId="77777777" w:rsidR="00B25FA2" w:rsidRPr="00406B56" w:rsidRDefault="00B25FA2" w:rsidP="00406B56">
      <w:pPr>
        <w:pStyle w:val="Prrafodelista"/>
        <w:numPr>
          <w:ilvl w:val="0"/>
          <w:numId w:val="1"/>
        </w:numPr>
        <w:ind w:left="360"/>
        <w:jc w:val="both"/>
        <w:rPr>
          <w:rFonts w:ascii="Verdana" w:hAnsi="Verdana"/>
          <w:sz w:val="20"/>
          <w:lang w:val="es-ES_tradnl"/>
        </w:rPr>
      </w:pPr>
      <w:r w:rsidRPr="00406B56">
        <w:rPr>
          <w:rFonts w:ascii="Verdana" w:hAnsi="Verdana"/>
          <w:sz w:val="20"/>
          <w:lang w:val="es-ES_tradnl"/>
        </w:rPr>
        <w:t>Que el Estado de Guatemala debe adoptar en su derecho interno, de acuerdo al artículo 2 de la Convención Americana sobre Derechos Humanos, las medidas legislativas, administrativas y de cualquier otra índole que sean necesarias con el objeto de garantizar la certeza y la publicidad del registro de detenidos en los términos de los párrafos 195 y 203 de la presente sentencia.</w:t>
      </w:r>
    </w:p>
    <w:p w14:paraId="02205D5D" w14:textId="77777777" w:rsidR="00B25FA2" w:rsidRPr="00C727A2" w:rsidRDefault="00B25FA2" w:rsidP="00B25FA2">
      <w:pPr>
        <w:jc w:val="both"/>
        <w:rPr>
          <w:rFonts w:ascii="Verdana" w:hAnsi="Verdana"/>
          <w:color w:val="00B0F0"/>
          <w:sz w:val="20"/>
          <w:lang w:val="es-ES_tradnl"/>
        </w:rPr>
      </w:pPr>
    </w:p>
    <w:p w14:paraId="2EAA6645" w14:textId="77777777" w:rsidR="00B25FA2" w:rsidRPr="00C727A2" w:rsidRDefault="00B25FA2" w:rsidP="00B25FA2">
      <w:pPr>
        <w:jc w:val="both"/>
        <w:rPr>
          <w:rFonts w:ascii="Verdana" w:hAnsi="Verdana"/>
          <w:sz w:val="20"/>
          <w:lang w:val="es-MX"/>
        </w:rPr>
      </w:pPr>
      <w:r w:rsidRPr="00C727A2">
        <w:rPr>
          <w:rFonts w:ascii="Verdana" w:hAnsi="Verdana"/>
          <w:sz w:val="20"/>
          <w:lang w:val="es-MX"/>
        </w:rPr>
        <w:t>En los Considerandos 28 a 31 de la resolución de la Corte de 28 de noviembre de 2017 se explica lo que continúa pendiente de cumplimiento respecto a la presente medida de reparación:</w:t>
      </w:r>
    </w:p>
    <w:p w14:paraId="5A22225C" w14:textId="77777777" w:rsidR="00B25FA2" w:rsidRDefault="00B25FA2" w:rsidP="00B25FA2">
      <w:pPr>
        <w:jc w:val="both"/>
        <w:rPr>
          <w:rFonts w:ascii="Verdana" w:hAnsi="Verdana"/>
          <w:color w:val="00B0F0"/>
          <w:sz w:val="20"/>
          <w:lang w:val="es-ES_tradnl"/>
        </w:rPr>
      </w:pPr>
    </w:p>
    <w:p w14:paraId="6A8D043A" w14:textId="63D29042" w:rsidR="00B25FA2" w:rsidRDefault="00B25FA2" w:rsidP="00B25FA2">
      <w:pPr>
        <w:ind w:left="360" w:right="720"/>
        <w:jc w:val="both"/>
        <w:rPr>
          <w:rFonts w:ascii="Verdana" w:hAnsi="Verdana"/>
          <w:sz w:val="18"/>
          <w:szCs w:val="18"/>
          <w:lang w:val="es-ES_tradnl"/>
        </w:rPr>
      </w:pPr>
      <w:r w:rsidRPr="005456F8">
        <w:rPr>
          <w:rFonts w:ascii="Verdana" w:hAnsi="Verdana"/>
          <w:sz w:val="18"/>
          <w:szCs w:val="18"/>
          <w:lang w:val="es-ES_tradnl"/>
        </w:rPr>
        <w:t xml:space="preserve">28. </w:t>
      </w:r>
      <w:r w:rsidRPr="005456F8">
        <w:rPr>
          <w:rFonts w:ascii="Verdana" w:hAnsi="Verdana"/>
          <w:sz w:val="18"/>
          <w:szCs w:val="18"/>
          <w:lang w:val="es-ES_tradnl"/>
        </w:rPr>
        <w:tab/>
        <w:t xml:space="preserve">Que la Comisión, aunque valoró la adopción de esta normativa, afirmó que la misma se refiere únicamente al sistema penitenciario e interpretó que la decisión de la Corte en este punto “no hace referencia específica a personas detenidas en el sistema penitenciario, sino un registro de detenidos con una visión </w:t>
      </w:r>
      <w:proofErr w:type="spellStart"/>
      <w:r w:rsidRPr="005456F8">
        <w:rPr>
          <w:rFonts w:ascii="Verdana" w:hAnsi="Verdana"/>
          <w:i/>
          <w:sz w:val="18"/>
          <w:szCs w:val="18"/>
          <w:lang w:val="es-ES_tradnl"/>
        </w:rPr>
        <w:t>latu</w:t>
      </w:r>
      <w:proofErr w:type="spellEnd"/>
      <w:r w:rsidRPr="005456F8">
        <w:rPr>
          <w:rFonts w:ascii="Verdana" w:hAnsi="Verdana"/>
          <w:i/>
          <w:sz w:val="18"/>
          <w:szCs w:val="18"/>
          <w:lang w:val="es-ES_tradnl"/>
        </w:rPr>
        <w:t xml:space="preserve"> sensu</w:t>
      </w:r>
      <w:r w:rsidRPr="005456F8">
        <w:rPr>
          <w:rFonts w:ascii="Verdana" w:hAnsi="Verdana"/>
          <w:sz w:val="18"/>
          <w:szCs w:val="18"/>
          <w:lang w:val="es-ES_tradnl"/>
        </w:rPr>
        <w:t xml:space="preserve">, es decir, a toda persona privada de libertad en Guatemala”. </w:t>
      </w:r>
    </w:p>
    <w:p w14:paraId="1FF518AF" w14:textId="77777777" w:rsidR="005D405A" w:rsidRPr="005456F8" w:rsidRDefault="005D405A" w:rsidP="00B25FA2">
      <w:pPr>
        <w:ind w:left="360" w:right="720"/>
        <w:jc w:val="both"/>
        <w:rPr>
          <w:rFonts w:ascii="Verdana" w:hAnsi="Verdana"/>
          <w:sz w:val="18"/>
          <w:szCs w:val="18"/>
          <w:lang w:val="es-ES_tradnl"/>
        </w:rPr>
      </w:pPr>
    </w:p>
    <w:p w14:paraId="3EE818FC" w14:textId="18C0A9D9" w:rsidR="00B25FA2" w:rsidRDefault="00B25FA2" w:rsidP="00B25FA2">
      <w:pPr>
        <w:ind w:left="360" w:right="720"/>
        <w:jc w:val="both"/>
        <w:rPr>
          <w:rFonts w:ascii="Verdana" w:hAnsi="Verdana"/>
          <w:sz w:val="18"/>
          <w:szCs w:val="18"/>
          <w:lang w:val="es-ES_tradnl"/>
        </w:rPr>
      </w:pPr>
      <w:r w:rsidRPr="005456F8">
        <w:rPr>
          <w:rFonts w:ascii="Verdana" w:hAnsi="Verdana"/>
          <w:sz w:val="18"/>
          <w:szCs w:val="18"/>
          <w:lang w:val="es-ES_tradnl"/>
        </w:rPr>
        <w:t>29.</w:t>
      </w:r>
      <w:r w:rsidRPr="005456F8">
        <w:rPr>
          <w:rFonts w:ascii="Verdana" w:hAnsi="Verdana"/>
          <w:sz w:val="18"/>
          <w:szCs w:val="18"/>
          <w:lang w:val="es-ES_tradnl"/>
        </w:rPr>
        <w:tab/>
      </w:r>
      <w:proofErr w:type="gramStart"/>
      <w:r w:rsidRPr="005456F8">
        <w:rPr>
          <w:rFonts w:ascii="Verdana" w:hAnsi="Verdana"/>
          <w:sz w:val="18"/>
          <w:szCs w:val="18"/>
          <w:lang w:val="es-ES_tradnl"/>
        </w:rPr>
        <w:t>Que</w:t>
      </w:r>
      <w:proofErr w:type="gramEnd"/>
      <w:r w:rsidRPr="005456F8">
        <w:rPr>
          <w:rFonts w:ascii="Verdana" w:hAnsi="Verdana"/>
          <w:sz w:val="18"/>
          <w:szCs w:val="18"/>
          <w:lang w:val="es-ES_tradnl"/>
        </w:rPr>
        <w:t xml:space="preserve"> en respuesta a lo afirmado por la Comisión, el Estado indicó que comparte la idea de que se cree un registro de toda persona privada de libertad.</w:t>
      </w:r>
    </w:p>
    <w:p w14:paraId="3240AD1E" w14:textId="77777777" w:rsidR="005D405A" w:rsidRPr="005456F8" w:rsidRDefault="005D405A" w:rsidP="00B25FA2">
      <w:pPr>
        <w:ind w:left="360" w:right="720"/>
        <w:jc w:val="both"/>
        <w:rPr>
          <w:rFonts w:ascii="Verdana" w:hAnsi="Verdana"/>
          <w:sz w:val="18"/>
          <w:szCs w:val="18"/>
          <w:lang w:val="es-ES_tradnl"/>
        </w:rPr>
      </w:pPr>
    </w:p>
    <w:p w14:paraId="6913554F" w14:textId="763E3615" w:rsidR="00B25FA2" w:rsidRDefault="00B25FA2" w:rsidP="00B25FA2">
      <w:pPr>
        <w:ind w:left="360" w:right="720"/>
        <w:jc w:val="both"/>
        <w:rPr>
          <w:rFonts w:ascii="Verdana" w:hAnsi="Verdana"/>
          <w:sz w:val="18"/>
          <w:szCs w:val="18"/>
          <w:lang w:val="es-ES_tradnl"/>
        </w:rPr>
      </w:pPr>
      <w:r w:rsidRPr="005456F8">
        <w:rPr>
          <w:rFonts w:ascii="Verdana" w:hAnsi="Verdana"/>
          <w:sz w:val="18"/>
          <w:szCs w:val="18"/>
          <w:lang w:val="es-ES_tradnl"/>
        </w:rPr>
        <w:t>30.</w:t>
      </w:r>
      <w:r w:rsidRPr="005456F8">
        <w:rPr>
          <w:rFonts w:ascii="Verdana" w:hAnsi="Verdana"/>
          <w:sz w:val="18"/>
          <w:szCs w:val="18"/>
          <w:lang w:val="es-ES_tradnl"/>
        </w:rPr>
        <w:tab/>
        <w:t>Que la Corte estima que, conforme a lo informado por el Estado, sería necesario la creación de un registro de personas privadas de libertad que abarque los centros de detención preventiva, los centros para adolescentes en conflicto con la ley, los centros de detención militar y los centros de detención policial.</w:t>
      </w:r>
    </w:p>
    <w:p w14:paraId="4BADA9D5" w14:textId="77777777" w:rsidR="005D405A" w:rsidRPr="005456F8" w:rsidRDefault="005D405A" w:rsidP="00B25FA2">
      <w:pPr>
        <w:ind w:left="360" w:right="720"/>
        <w:jc w:val="both"/>
        <w:rPr>
          <w:rFonts w:ascii="Verdana" w:hAnsi="Verdana"/>
          <w:sz w:val="18"/>
          <w:szCs w:val="18"/>
          <w:lang w:val="es-ES_tradnl"/>
        </w:rPr>
      </w:pPr>
    </w:p>
    <w:p w14:paraId="25BCA8C5" w14:textId="77777777" w:rsidR="00B25FA2" w:rsidRPr="005456F8" w:rsidRDefault="00B25FA2" w:rsidP="00B25FA2">
      <w:pPr>
        <w:ind w:left="360" w:right="720"/>
        <w:jc w:val="both"/>
        <w:rPr>
          <w:rFonts w:ascii="Verdana" w:hAnsi="Verdana"/>
          <w:sz w:val="18"/>
          <w:szCs w:val="18"/>
          <w:lang w:val="es-ES_tradnl"/>
        </w:rPr>
      </w:pPr>
      <w:r w:rsidRPr="005456F8">
        <w:rPr>
          <w:rFonts w:ascii="Verdana" w:hAnsi="Verdana"/>
          <w:sz w:val="18"/>
          <w:szCs w:val="18"/>
          <w:lang w:val="es-ES_tradnl"/>
        </w:rPr>
        <w:t>31.</w:t>
      </w:r>
      <w:r w:rsidRPr="005456F8">
        <w:rPr>
          <w:rFonts w:ascii="Verdana" w:hAnsi="Verdana"/>
          <w:sz w:val="18"/>
          <w:szCs w:val="18"/>
          <w:lang w:val="es-ES_tradnl"/>
        </w:rPr>
        <w:tab/>
        <w:t>Que en razón de lo anterior, la Corte considera que el Estado ha dado cumplimiento parcial al punto resolutivo cuarto de la Sentencia de reparaciones y que, consecuentemente, queda pendiente que el Estado establezca un registro que incluya a todas las personas privadas de su libertad.</w:t>
      </w:r>
    </w:p>
    <w:p w14:paraId="51A344B6" w14:textId="77777777" w:rsidR="00B25FA2" w:rsidRPr="00B25FA2" w:rsidRDefault="00B25FA2" w:rsidP="00B25FA2">
      <w:pPr>
        <w:ind w:left="360"/>
        <w:jc w:val="both"/>
        <w:rPr>
          <w:rFonts w:ascii="Verdana" w:hAnsi="Verdana"/>
          <w:sz w:val="20"/>
          <w:lang w:val="es-ES_tradnl"/>
        </w:rPr>
      </w:pPr>
    </w:p>
    <w:sectPr w:rsidR="00B25FA2" w:rsidRPr="00B25F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E263" w14:textId="77777777" w:rsidR="00055C33" w:rsidRDefault="00055C33" w:rsidP="00055C33">
      <w:r>
        <w:separator/>
      </w:r>
    </w:p>
  </w:endnote>
  <w:endnote w:type="continuationSeparator" w:id="0">
    <w:p w14:paraId="2128B048" w14:textId="77777777" w:rsidR="00055C33" w:rsidRDefault="00055C33" w:rsidP="0005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94C3" w14:textId="77777777" w:rsidR="00055C33" w:rsidRPr="00A950A1" w:rsidRDefault="00055C33" w:rsidP="00055C33">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2C9BD21" w14:textId="77777777" w:rsidR="00055C33" w:rsidRPr="00055C33" w:rsidRDefault="00055C3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EE54" w14:textId="77777777" w:rsidR="00055C33" w:rsidRDefault="00055C33" w:rsidP="00055C33">
      <w:r>
        <w:separator/>
      </w:r>
    </w:p>
  </w:footnote>
  <w:footnote w:type="continuationSeparator" w:id="0">
    <w:p w14:paraId="3ADA72E7" w14:textId="77777777" w:rsidR="00055C33" w:rsidRDefault="00055C33" w:rsidP="0005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2658"/>
      <w:docPartObj>
        <w:docPartGallery w:val="Page Numbers (Top of Page)"/>
        <w:docPartUnique/>
      </w:docPartObj>
    </w:sdtPr>
    <w:sdtEndPr>
      <w:rPr>
        <w:noProof/>
      </w:rPr>
    </w:sdtEndPr>
    <w:sdtContent>
      <w:p w14:paraId="536B2285" w14:textId="77777777" w:rsidR="00055C33" w:rsidRDefault="00055C33">
        <w:pPr>
          <w:pStyle w:val="Encabezado"/>
          <w:jc w:val="right"/>
        </w:pPr>
        <w:r w:rsidRPr="00055C33">
          <w:rPr>
            <w:rFonts w:ascii="Verdana" w:hAnsi="Verdana"/>
            <w:sz w:val="20"/>
          </w:rPr>
          <w:fldChar w:fldCharType="begin"/>
        </w:r>
        <w:r w:rsidRPr="00055C33">
          <w:rPr>
            <w:rFonts w:ascii="Verdana" w:hAnsi="Verdana"/>
            <w:sz w:val="20"/>
          </w:rPr>
          <w:instrText xml:space="preserve"> PAGE   \* MERGEFORMAT </w:instrText>
        </w:r>
        <w:r w:rsidRPr="00055C33">
          <w:rPr>
            <w:rFonts w:ascii="Verdana" w:hAnsi="Verdana"/>
            <w:sz w:val="20"/>
          </w:rPr>
          <w:fldChar w:fldCharType="separate"/>
        </w:r>
        <w:r w:rsidR="003C753E">
          <w:rPr>
            <w:rFonts w:ascii="Verdana" w:hAnsi="Verdana"/>
            <w:noProof/>
            <w:sz w:val="20"/>
          </w:rPr>
          <w:t>5</w:t>
        </w:r>
        <w:r w:rsidRPr="00055C33">
          <w:rPr>
            <w:rFonts w:ascii="Verdana" w:hAnsi="Verdana"/>
            <w:noProof/>
            <w:sz w:val="20"/>
          </w:rPr>
          <w:fldChar w:fldCharType="end"/>
        </w:r>
      </w:p>
    </w:sdtContent>
  </w:sdt>
  <w:p w14:paraId="50183663" w14:textId="77777777" w:rsidR="00055C33" w:rsidRDefault="00055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06B"/>
    <w:multiLevelType w:val="hybridMultilevel"/>
    <w:tmpl w:val="2A52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20CEF"/>
    <w:multiLevelType w:val="hybridMultilevel"/>
    <w:tmpl w:val="B2FE6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51023">
    <w:abstractNumId w:val="1"/>
  </w:num>
  <w:num w:numId="2" w16cid:durableId="173095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3"/>
    <w:rsid w:val="00055C33"/>
    <w:rsid w:val="000C23E2"/>
    <w:rsid w:val="000D1C9A"/>
    <w:rsid w:val="003A7E5E"/>
    <w:rsid w:val="003C753E"/>
    <w:rsid w:val="00406B56"/>
    <w:rsid w:val="00467376"/>
    <w:rsid w:val="005D405A"/>
    <w:rsid w:val="00605246"/>
    <w:rsid w:val="006A3D0A"/>
    <w:rsid w:val="009832C0"/>
    <w:rsid w:val="00B25FA2"/>
    <w:rsid w:val="00E3749F"/>
    <w:rsid w:val="00FC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C961"/>
  <w15:docId w15:val="{03891039-61DA-467F-AF3A-7735160D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33"/>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C33"/>
    <w:pPr>
      <w:tabs>
        <w:tab w:val="center" w:pos="4680"/>
        <w:tab w:val="right" w:pos="9360"/>
      </w:tabs>
    </w:pPr>
  </w:style>
  <w:style w:type="character" w:customStyle="1" w:styleId="EncabezadoCar">
    <w:name w:val="Encabezado Car"/>
    <w:basedOn w:val="Fuentedeprrafopredeter"/>
    <w:link w:val="Encabezado"/>
    <w:uiPriority w:val="99"/>
    <w:rsid w:val="00055C33"/>
  </w:style>
  <w:style w:type="paragraph" w:styleId="Piedepgina">
    <w:name w:val="footer"/>
    <w:basedOn w:val="Normal"/>
    <w:link w:val="PiedepginaCar"/>
    <w:uiPriority w:val="99"/>
    <w:unhideWhenUsed/>
    <w:rsid w:val="00055C33"/>
    <w:pPr>
      <w:tabs>
        <w:tab w:val="center" w:pos="4680"/>
        <w:tab w:val="right" w:pos="9360"/>
      </w:tabs>
    </w:pPr>
  </w:style>
  <w:style w:type="character" w:customStyle="1" w:styleId="PiedepginaCar">
    <w:name w:val="Pie de página Car"/>
    <w:basedOn w:val="Fuentedeprrafopredeter"/>
    <w:link w:val="Piedepgina"/>
    <w:uiPriority w:val="99"/>
    <w:rsid w:val="00055C33"/>
  </w:style>
  <w:style w:type="paragraph" w:styleId="Prrafodelista">
    <w:name w:val="List Paragraph"/>
    <w:basedOn w:val="Normal"/>
    <w:uiPriority w:val="34"/>
    <w:qFormat/>
    <w:rsid w:val="00055C33"/>
    <w:pPr>
      <w:ind w:left="720"/>
      <w:contextualSpacing/>
    </w:pPr>
  </w:style>
  <w:style w:type="character" w:styleId="Refdenotaalpie">
    <w:name w:val="footnote reference"/>
    <w:basedOn w:val="Fuentedeprrafopredeter"/>
    <w:semiHidden/>
    <w:rsid w:val="00406B56"/>
    <w:rPr>
      <w:vertAlign w:val="superscript"/>
    </w:rPr>
  </w:style>
  <w:style w:type="paragraph" w:styleId="Textonotapie">
    <w:name w:val="footnote text"/>
    <w:basedOn w:val="Normal"/>
    <w:link w:val="TextonotapieCar"/>
    <w:semiHidden/>
    <w:rsid w:val="00406B56"/>
    <w:rPr>
      <w:rFonts w:ascii="New York" w:hAnsi="New York"/>
      <w:sz w:val="20"/>
    </w:rPr>
  </w:style>
  <w:style w:type="character" w:customStyle="1" w:styleId="TextonotapieCar">
    <w:name w:val="Texto nota pie Car"/>
    <w:basedOn w:val="Fuentedeprrafopredeter"/>
    <w:link w:val="Textonotapie"/>
    <w:semiHidden/>
    <w:rsid w:val="00406B56"/>
    <w:rPr>
      <w:rFonts w:ascii="New York" w:eastAsia="Times New Roman" w:hAnsi="New York" w:cs="Times New Roman"/>
      <w:sz w:val="20"/>
      <w:szCs w:val="20"/>
      <w:lang w:eastAsia="es-ES"/>
    </w:rPr>
  </w:style>
  <w:style w:type="paragraph" w:customStyle="1" w:styleId="BodyText21">
    <w:name w:val="Body Text 21"/>
    <w:basedOn w:val="Normal"/>
    <w:rsid w:val="00406B56"/>
    <w:pPr>
      <w:widowControl w:val="0"/>
      <w:jc w:val="both"/>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1699</Characters>
  <Application>Microsoft Office Word</Application>
  <DocSecurity>0</DocSecurity>
  <Lines>35</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3</cp:revision>
  <dcterms:created xsi:type="dcterms:W3CDTF">2021-12-30T23:51:00Z</dcterms:created>
  <dcterms:modified xsi:type="dcterms:W3CDTF">2024-01-07T23:03:00Z</dcterms:modified>
</cp:coreProperties>
</file>