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933" w:rsidRPr="002E1EE9" w:rsidRDefault="00513933" w:rsidP="00513933">
      <w:pPr>
        <w:jc w:val="center"/>
        <w:rPr>
          <w:rFonts w:ascii="Verdana" w:hAnsi="Verdana"/>
          <w:b/>
          <w:sz w:val="20"/>
          <w:szCs w:val="20"/>
          <w:u w:val="single"/>
        </w:rPr>
      </w:pPr>
      <w:bookmarkStart w:id="0" w:name="_GoBack"/>
      <w:bookmarkEnd w:id="0"/>
      <w:r w:rsidRPr="002E1EE9">
        <w:rPr>
          <w:rFonts w:ascii="Verdana" w:hAnsi="Verdana"/>
          <w:b/>
          <w:sz w:val="20"/>
          <w:szCs w:val="20"/>
          <w:u w:val="single"/>
        </w:rPr>
        <w:t xml:space="preserve">Caso Raxcacó Reyes </w:t>
      </w:r>
      <w:r w:rsidRPr="002E1EE9">
        <w:rPr>
          <w:rFonts w:ascii="Verdana" w:hAnsi="Verdana"/>
          <w:b/>
          <w:i/>
          <w:sz w:val="20"/>
          <w:szCs w:val="20"/>
          <w:u w:val="single"/>
        </w:rPr>
        <w:t>Vs.</w:t>
      </w:r>
      <w:r w:rsidRPr="002E1EE9">
        <w:rPr>
          <w:rFonts w:ascii="Verdana" w:hAnsi="Verdana"/>
          <w:b/>
          <w:sz w:val="20"/>
          <w:szCs w:val="20"/>
          <w:u w:val="single"/>
        </w:rPr>
        <w:t xml:space="preserve"> Guatemala: reparaciones declaradas cumplidas</w:t>
      </w:r>
    </w:p>
    <w:p w:rsidR="00513933" w:rsidRPr="002E1EE9" w:rsidRDefault="00513933" w:rsidP="005D6B0C">
      <w:pPr>
        <w:jc w:val="both"/>
        <w:rPr>
          <w:rFonts w:ascii="Verdana" w:hAnsi="Verdana"/>
          <w:iCs/>
          <w:color w:val="00B050"/>
          <w:sz w:val="20"/>
          <w:szCs w:val="20"/>
        </w:rPr>
      </w:pPr>
    </w:p>
    <w:p w:rsidR="00513933" w:rsidRPr="002E1EE9" w:rsidRDefault="00513933" w:rsidP="005D6B0C">
      <w:pPr>
        <w:jc w:val="both"/>
        <w:rPr>
          <w:rFonts w:ascii="Verdana" w:hAnsi="Verdana"/>
          <w:iCs/>
          <w:sz w:val="20"/>
          <w:szCs w:val="20"/>
        </w:rPr>
      </w:pPr>
    </w:p>
    <w:p w:rsidR="005D6B0C" w:rsidRPr="002E1EE9" w:rsidRDefault="002E1EE9" w:rsidP="002E1EE9">
      <w:pPr>
        <w:pStyle w:val="Prrafodelista"/>
        <w:numPr>
          <w:ilvl w:val="0"/>
          <w:numId w:val="1"/>
        </w:numPr>
        <w:ind w:left="360"/>
        <w:jc w:val="both"/>
        <w:rPr>
          <w:rFonts w:ascii="Verdana" w:hAnsi="Verdana"/>
          <w:iCs/>
          <w:sz w:val="20"/>
          <w:szCs w:val="20"/>
        </w:rPr>
      </w:pPr>
      <w:r>
        <w:rPr>
          <w:rFonts w:ascii="Verdana" w:hAnsi="Verdana"/>
          <w:iCs/>
          <w:sz w:val="20"/>
          <w:szCs w:val="20"/>
        </w:rPr>
        <w:t>D</w:t>
      </w:r>
      <w:r w:rsidR="005D6B0C" w:rsidRPr="002E1EE9">
        <w:rPr>
          <w:rFonts w:ascii="Verdana" w:hAnsi="Verdana"/>
          <w:iCs/>
          <w:sz w:val="20"/>
          <w:szCs w:val="20"/>
        </w:rPr>
        <w:t>ejar sin efectos la pena impuesta al señor Raxcacó Reyes en la sentencia del Tribunal Sexto de Sentencia Penal, Narcoactividad y Delitos contra el Ambiente (</w:t>
      </w:r>
      <w:r w:rsidR="005D6B0C" w:rsidRPr="002E1EE9">
        <w:rPr>
          <w:rFonts w:ascii="Verdana" w:hAnsi="Verdana"/>
          <w:i/>
          <w:iCs/>
          <w:sz w:val="20"/>
          <w:szCs w:val="20"/>
        </w:rPr>
        <w:t>supra</w:t>
      </w:r>
      <w:r w:rsidR="005D6B0C" w:rsidRPr="002E1EE9">
        <w:rPr>
          <w:rFonts w:ascii="Verdana" w:hAnsi="Verdana"/>
          <w:iCs/>
          <w:sz w:val="20"/>
          <w:szCs w:val="20"/>
        </w:rPr>
        <w:t xml:space="preserve"> párr. 43.10) dentro de un plazo razonable y, sin necesidad de un nuevo proceso, emitir otra que en ningún caso podrá ser la pena de muerte. El Estado deberá asegurar que la nueva pena sea proporcional a la naturaleza y gravedad del delito que se persigue, y tome en cuenta las circunstancias atenuantes y agravantes que pudieren concurrir en el caso, para lo cual, previamente a dictar sentencia, ofrecerá a las partes la oportunidad de ejercer su derecho de audiencia. </w:t>
      </w:r>
    </w:p>
    <w:p w:rsidR="002E1EE9" w:rsidRPr="002E1EE9" w:rsidRDefault="002E1EE9" w:rsidP="002E1EE9">
      <w:pPr>
        <w:pStyle w:val="Prrafodelista"/>
        <w:ind w:left="360" w:hanging="360"/>
        <w:jc w:val="both"/>
        <w:rPr>
          <w:rFonts w:ascii="Verdana" w:hAnsi="Verdana"/>
          <w:iCs/>
          <w:sz w:val="20"/>
          <w:szCs w:val="20"/>
        </w:rPr>
      </w:pPr>
    </w:p>
    <w:p w:rsidR="002E1EE9" w:rsidRPr="002E1EE9" w:rsidRDefault="002E1EE9" w:rsidP="002E1EE9">
      <w:pPr>
        <w:pStyle w:val="Prrafodelista"/>
        <w:numPr>
          <w:ilvl w:val="0"/>
          <w:numId w:val="1"/>
        </w:numPr>
        <w:ind w:left="360"/>
        <w:jc w:val="both"/>
        <w:rPr>
          <w:rFonts w:ascii="Verdana" w:hAnsi="Verdana"/>
          <w:iCs/>
          <w:sz w:val="20"/>
          <w:szCs w:val="20"/>
        </w:rPr>
      </w:pPr>
      <w:r>
        <w:rPr>
          <w:rFonts w:ascii="Verdana" w:hAnsi="Verdana"/>
          <w:sz w:val="20"/>
          <w:szCs w:val="20"/>
        </w:rPr>
        <w:t>P</w:t>
      </w:r>
      <w:r w:rsidR="005D6B0C" w:rsidRPr="002E1EE9">
        <w:rPr>
          <w:rFonts w:ascii="Verdana" w:hAnsi="Verdana"/>
          <w:sz w:val="20"/>
          <w:szCs w:val="20"/>
        </w:rPr>
        <w:t xml:space="preserve">ublicar, en el plazo de un año a partir de la notificación de la presente Sentencia, en el Diario Oficial y en otro diario de amplia circulación nacional, al menos una vez, el capítulo de Hechos Probados, los párrafos 65, 66, 72, 81, 82, 85, 86, 102 y 113 que corresponden a los capítulos VIII, IX, X y XI, y los puntos resolutivos primero a decimosexto de la presente Sentencia. En la publicación se deberán incluir los títulos de los referidos capítulos y se omitirán las citas al </w:t>
      </w:r>
      <w:r w:rsidR="00060BB8" w:rsidRPr="002E1EE9">
        <w:rPr>
          <w:rFonts w:ascii="Verdana" w:hAnsi="Verdana"/>
          <w:sz w:val="20"/>
          <w:szCs w:val="20"/>
        </w:rPr>
        <w:t>pie</w:t>
      </w:r>
      <w:r w:rsidR="005D6B0C" w:rsidRPr="002E1EE9">
        <w:rPr>
          <w:rFonts w:ascii="Verdana" w:hAnsi="Verdana"/>
          <w:sz w:val="20"/>
          <w:szCs w:val="20"/>
        </w:rPr>
        <w:t xml:space="preserve"> de página. </w:t>
      </w:r>
    </w:p>
    <w:p w:rsidR="002E1EE9" w:rsidRPr="002E1EE9" w:rsidRDefault="002E1EE9" w:rsidP="002E1EE9">
      <w:pPr>
        <w:pStyle w:val="Prrafodelista"/>
        <w:ind w:left="360" w:hanging="360"/>
        <w:rPr>
          <w:rFonts w:ascii="Verdana" w:hAnsi="Verdana"/>
          <w:sz w:val="20"/>
          <w:szCs w:val="20"/>
        </w:rPr>
      </w:pPr>
    </w:p>
    <w:p w:rsidR="005D6B0C" w:rsidRPr="00060BB8" w:rsidRDefault="002E1EE9" w:rsidP="002E1EE9">
      <w:pPr>
        <w:pStyle w:val="Prrafodelista"/>
        <w:numPr>
          <w:ilvl w:val="0"/>
          <w:numId w:val="1"/>
        </w:numPr>
        <w:ind w:left="360"/>
        <w:jc w:val="both"/>
        <w:rPr>
          <w:rFonts w:ascii="Verdana" w:hAnsi="Verdana"/>
          <w:iCs/>
          <w:sz w:val="20"/>
          <w:szCs w:val="20"/>
        </w:rPr>
      </w:pPr>
      <w:r>
        <w:rPr>
          <w:rFonts w:ascii="Verdana" w:hAnsi="Verdana"/>
          <w:sz w:val="20"/>
          <w:szCs w:val="20"/>
        </w:rPr>
        <w:t>E</w:t>
      </w:r>
      <w:r w:rsidR="005D6B0C" w:rsidRPr="002E1EE9">
        <w:rPr>
          <w:rFonts w:ascii="Verdana" w:hAnsi="Verdana"/>
          <w:sz w:val="20"/>
          <w:szCs w:val="20"/>
        </w:rPr>
        <w:t>fectuar el pago por concepto de reintegro de gastos dentro del plazo de un año, contado a partir de la notificación del presente fallo, en los términos del párrafo 138 de esta Sentencia.</w:t>
      </w:r>
    </w:p>
    <w:p w:rsidR="00060BB8" w:rsidRPr="00060BB8" w:rsidRDefault="00060BB8" w:rsidP="00060BB8">
      <w:pPr>
        <w:jc w:val="both"/>
        <w:rPr>
          <w:rFonts w:ascii="Verdana" w:hAnsi="Verdana"/>
          <w:iCs/>
          <w:sz w:val="20"/>
          <w:szCs w:val="20"/>
        </w:rPr>
      </w:pPr>
    </w:p>
    <w:p w:rsidR="00060BB8" w:rsidRPr="00060BB8" w:rsidRDefault="00060BB8" w:rsidP="00060BB8">
      <w:pPr>
        <w:pStyle w:val="Prrafodelista"/>
        <w:numPr>
          <w:ilvl w:val="0"/>
          <w:numId w:val="1"/>
        </w:numPr>
        <w:ind w:left="426" w:hanging="426"/>
        <w:jc w:val="both"/>
        <w:rPr>
          <w:rFonts w:ascii="Verdana" w:hAnsi="Verdana"/>
          <w:sz w:val="20"/>
        </w:rPr>
      </w:pPr>
      <w:r>
        <w:rPr>
          <w:rFonts w:ascii="Verdana" w:hAnsi="Verdana"/>
          <w:sz w:val="20"/>
        </w:rPr>
        <w:t>A</w:t>
      </w:r>
      <w:r w:rsidRPr="00490E2A">
        <w:rPr>
          <w:rFonts w:ascii="Verdana" w:hAnsi="Verdana"/>
          <w:sz w:val="20"/>
        </w:rPr>
        <w:t xml:space="preserve">doptar, a partir de la notificación de la presente Sentencia, las medidas necesarias para posibilitar que el señor </w:t>
      </w:r>
      <w:proofErr w:type="spellStart"/>
      <w:r w:rsidRPr="00490E2A">
        <w:rPr>
          <w:rFonts w:ascii="Verdana" w:hAnsi="Verdana"/>
          <w:sz w:val="20"/>
        </w:rPr>
        <w:t>Raxcacó</w:t>
      </w:r>
      <w:proofErr w:type="spellEnd"/>
      <w:r w:rsidRPr="00490E2A">
        <w:rPr>
          <w:rFonts w:ascii="Verdana" w:hAnsi="Verdana"/>
          <w:sz w:val="20"/>
        </w:rPr>
        <w:t xml:space="preserve"> Reyes reciba visitas periódicas de la señora Olga Isabel Vicente. </w:t>
      </w:r>
    </w:p>
    <w:p w:rsidR="006E7F48" w:rsidRPr="002E1EE9" w:rsidRDefault="004179A5">
      <w:pPr>
        <w:rPr>
          <w:rFonts w:ascii="Verdana" w:hAnsi="Verdana"/>
          <w:b/>
          <w:sz w:val="20"/>
          <w:szCs w:val="20"/>
        </w:rPr>
      </w:pPr>
    </w:p>
    <w:p w:rsidR="005D6B0C" w:rsidRDefault="00F8381B">
      <w:pPr>
        <w:rPr>
          <w:rFonts w:ascii="Verdana" w:hAnsi="Verdana"/>
          <w:b/>
          <w:sz w:val="20"/>
          <w:szCs w:val="20"/>
        </w:rPr>
      </w:pPr>
      <w:r>
        <w:rPr>
          <w:rFonts w:ascii="Verdana" w:hAnsi="Verdana"/>
          <w:b/>
          <w:sz w:val="20"/>
          <w:szCs w:val="20"/>
        </w:rPr>
        <w:t xml:space="preserve">Dando </w:t>
      </w:r>
      <w:r w:rsidR="005D6B0C" w:rsidRPr="002E1EE9">
        <w:rPr>
          <w:rFonts w:ascii="Verdana" w:hAnsi="Verdana"/>
          <w:b/>
          <w:sz w:val="20"/>
          <w:szCs w:val="20"/>
        </w:rPr>
        <w:t>Cumplimiento:</w:t>
      </w:r>
    </w:p>
    <w:p w:rsidR="002E1EE9" w:rsidRPr="002E1EE9" w:rsidRDefault="002E1EE9">
      <w:pPr>
        <w:rPr>
          <w:rFonts w:ascii="Verdana" w:hAnsi="Verdana"/>
          <w:b/>
          <w:sz w:val="20"/>
          <w:szCs w:val="20"/>
        </w:rPr>
      </w:pPr>
    </w:p>
    <w:p w:rsidR="00CB7CB9" w:rsidRPr="005C0D53" w:rsidRDefault="00CB7CB9" w:rsidP="00CB7CB9">
      <w:pPr>
        <w:pStyle w:val="Prrafodelista"/>
        <w:numPr>
          <w:ilvl w:val="0"/>
          <w:numId w:val="1"/>
        </w:numPr>
        <w:ind w:left="426" w:hanging="426"/>
        <w:jc w:val="both"/>
        <w:rPr>
          <w:rFonts w:ascii="Verdana" w:hAnsi="Verdana"/>
          <w:sz w:val="20"/>
        </w:rPr>
      </w:pPr>
      <w:r>
        <w:rPr>
          <w:rFonts w:ascii="Verdana" w:hAnsi="Verdana"/>
          <w:sz w:val="20"/>
        </w:rPr>
        <w:t>A</w:t>
      </w:r>
      <w:r w:rsidRPr="00490E2A">
        <w:rPr>
          <w:rFonts w:ascii="Verdana" w:hAnsi="Verdana"/>
          <w:sz w:val="20"/>
        </w:rPr>
        <w:t>doptar, en un plazo razonable,</w:t>
      </w:r>
      <w:r w:rsidRPr="00490E2A">
        <w:rPr>
          <w:rFonts w:ascii="Verdana" w:hAnsi="Verdana"/>
          <w:b/>
          <w:sz w:val="20"/>
        </w:rPr>
        <w:t xml:space="preserve"> </w:t>
      </w:r>
      <w:r w:rsidRPr="00490E2A">
        <w:rPr>
          <w:rFonts w:ascii="Verdana" w:hAnsi="Verdana"/>
          <w:sz w:val="20"/>
        </w:rPr>
        <w:t>un procedimiento que garantice que toda persona condenada a muerte tenga derecho a solicitar y, en su caso, obtener indulto, conforme a una regulación que establezca la autoridad facultada para concederlo, los supuestos de procedencia y el trámite respectivo. En estos casos no debe ejecutarse la sentencia mientras se encuentre pendiente la decisión sobre el indulto o la conmutación solicitados.</w:t>
      </w:r>
    </w:p>
    <w:p w:rsidR="00CB7CB9" w:rsidRPr="00CB7CB9" w:rsidRDefault="00CB7CB9" w:rsidP="00CB7CB9">
      <w:pPr>
        <w:jc w:val="both"/>
        <w:rPr>
          <w:rFonts w:ascii="Verdana" w:hAnsi="Verdana"/>
          <w:sz w:val="20"/>
        </w:rPr>
      </w:pPr>
    </w:p>
    <w:p w:rsidR="00060BB8" w:rsidRDefault="00060BB8" w:rsidP="00060BB8">
      <w:pPr>
        <w:pStyle w:val="Prrafodelista"/>
        <w:numPr>
          <w:ilvl w:val="0"/>
          <w:numId w:val="1"/>
        </w:numPr>
        <w:ind w:left="426" w:hanging="426"/>
        <w:jc w:val="both"/>
        <w:rPr>
          <w:rFonts w:ascii="Verdana" w:hAnsi="Verdana"/>
          <w:sz w:val="20"/>
        </w:rPr>
      </w:pPr>
      <w:r>
        <w:rPr>
          <w:rFonts w:ascii="Verdana" w:hAnsi="Verdana"/>
          <w:sz w:val="20"/>
        </w:rPr>
        <w:t>A</w:t>
      </w:r>
      <w:r w:rsidRPr="00490E2A">
        <w:rPr>
          <w:rFonts w:ascii="Verdana" w:hAnsi="Verdana"/>
          <w:sz w:val="20"/>
        </w:rPr>
        <w:t xml:space="preserve">bstenerse de aplicar la pena de muerte y ejecutar a los condenados por el delito de plagio o secuestro, en los términos del párrafo 132 de la </w:t>
      </w:r>
      <w:r>
        <w:rPr>
          <w:rFonts w:ascii="Verdana" w:hAnsi="Verdana"/>
          <w:sz w:val="20"/>
        </w:rPr>
        <w:t>presente Sentencia, m</w:t>
      </w:r>
      <w:r w:rsidRPr="00490E2A">
        <w:rPr>
          <w:rFonts w:ascii="Verdana" w:hAnsi="Verdana"/>
          <w:sz w:val="20"/>
        </w:rPr>
        <w:t>ientras no se realicen las modificaciones señaladas en el punto resolutivo anterior</w:t>
      </w:r>
      <w:r>
        <w:rPr>
          <w:rFonts w:ascii="Verdana" w:hAnsi="Verdana"/>
          <w:sz w:val="20"/>
        </w:rPr>
        <w:t>.</w:t>
      </w:r>
    </w:p>
    <w:p w:rsidR="00F8381B" w:rsidRPr="00F8381B" w:rsidRDefault="00F8381B" w:rsidP="00F8381B">
      <w:pPr>
        <w:jc w:val="both"/>
        <w:rPr>
          <w:rFonts w:ascii="Verdana" w:hAnsi="Verdana"/>
          <w:sz w:val="20"/>
        </w:rPr>
      </w:pPr>
    </w:p>
    <w:p w:rsidR="00F8381B" w:rsidRPr="00F8381B" w:rsidRDefault="00F8381B" w:rsidP="00F8381B">
      <w:pPr>
        <w:jc w:val="both"/>
        <w:rPr>
          <w:rFonts w:ascii="Verdana" w:hAnsi="Verdana"/>
          <w:sz w:val="20"/>
        </w:rPr>
      </w:pPr>
      <w:r w:rsidRPr="002E1EE9">
        <w:rPr>
          <w:rFonts w:ascii="Verdana" w:hAnsi="Verdana"/>
          <w:b/>
          <w:sz w:val="20"/>
          <w:szCs w:val="20"/>
        </w:rPr>
        <w:t>Cumplimiento parcial:</w:t>
      </w:r>
    </w:p>
    <w:p w:rsidR="00060BB8" w:rsidRPr="00060BB8" w:rsidRDefault="00060BB8" w:rsidP="00060BB8">
      <w:pPr>
        <w:pStyle w:val="Prrafodelista"/>
        <w:ind w:left="360"/>
        <w:jc w:val="both"/>
        <w:rPr>
          <w:rFonts w:ascii="Verdana" w:hAnsi="Verdana"/>
          <w:b/>
          <w:sz w:val="20"/>
          <w:szCs w:val="20"/>
        </w:rPr>
      </w:pPr>
    </w:p>
    <w:p w:rsidR="005D6B0C" w:rsidRPr="002E1EE9" w:rsidRDefault="002E1EE9" w:rsidP="002E1EE9">
      <w:pPr>
        <w:pStyle w:val="Prrafodelista"/>
        <w:numPr>
          <w:ilvl w:val="0"/>
          <w:numId w:val="1"/>
        </w:numPr>
        <w:ind w:left="360"/>
        <w:jc w:val="both"/>
        <w:rPr>
          <w:rFonts w:ascii="Verdana" w:hAnsi="Verdana"/>
          <w:b/>
          <w:sz w:val="20"/>
          <w:szCs w:val="20"/>
        </w:rPr>
      </w:pPr>
      <w:r>
        <w:rPr>
          <w:rFonts w:ascii="Verdana" w:hAnsi="Verdana"/>
          <w:sz w:val="20"/>
          <w:szCs w:val="20"/>
        </w:rPr>
        <w:t>P</w:t>
      </w:r>
      <w:r w:rsidR="005D6B0C" w:rsidRPr="002E1EE9">
        <w:rPr>
          <w:rFonts w:ascii="Verdana" w:hAnsi="Verdana"/>
          <w:sz w:val="20"/>
          <w:szCs w:val="20"/>
        </w:rPr>
        <w:t xml:space="preserve">roveer al señor </w:t>
      </w:r>
      <w:proofErr w:type="spellStart"/>
      <w:r w:rsidR="005D6B0C" w:rsidRPr="002E1EE9">
        <w:rPr>
          <w:rFonts w:ascii="Verdana" w:hAnsi="Verdana"/>
          <w:sz w:val="20"/>
          <w:szCs w:val="20"/>
        </w:rPr>
        <w:t>Raxcacó</w:t>
      </w:r>
      <w:proofErr w:type="spellEnd"/>
      <w:r w:rsidR="005D6B0C" w:rsidRPr="002E1EE9">
        <w:rPr>
          <w:rFonts w:ascii="Verdana" w:hAnsi="Verdana"/>
          <w:sz w:val="20"/>
          <w:szCs w:val="20"/>
        </w:rPr>
        <w:t xml:space="preserve"> Reyes, previa manifestación de su consentimiento, por el tiempo que sea necesario, a partir de la notificación de la presente Sentencia, sin cargo alguno y por medio de los servicios nacionales de salud, un adecuado tratamiento médico y psicológico, incluida la provisión de medicamentos, según las prescripciones de especialistas debidamente calificados. </w:t>
      </w:r>
      <w:r w:rsidR="005D6B0C" w:rsidRPr="002E1EE9">
        <w:rPr>
          <w:rFonts w:ascii="Verdana" w:hAnsi="Verdana"/>
          <w:b/>
          <w:sz w:val="20"/>
          <w:szCs w:val="20"/>
        </w:rPr>
        <w:t xml:space="preserve"> </w:t>
      </w:r>
    </w:p>
    <w:p w:rsidR="005D6B0C" w:rsidRPr="002E1EE9" w:rsidRDefault="005D6B0C">
      <w:pPr>
        <w:rPr>
          <w:rFonts w:ascii="Verdana" w:hAnsi="Verdana"/>
          <w:sz w:val="20"/>
          <w:szCs w:val="20"/>
        </w:rPr>
      </w:pPr>
    </w:p>
    <w:p w:rsidR="002E1EE9" w:rsidRPr="002E1EE9" w:rsidRDefault="002E1EE9" w:rsidP="002E1EE9">
      <w:pPr>
        <w:jc w:val="both"/>
        <w:rPr>
          <w:rFonts w:ascii="Verdana" w:hAnsi="Verdana"/>
          <w:sz w:val="20"/>
          <w:szCs w:val="20"/>
        </w:rPr>
      </w:pPr>
      <w:r w:rsidRPr="002E1EE9">
        <w:rPr>
          <w:rFonts w:ascii="Verdana" w:hAnsi="Verdana"/>
          <w:sz w:val="20"/>
          <w:szCs w:val="20"/>
        </w:rPr>
        <w:t>En el Considerando 22 de la resolución de la Corte de 9 de mayo de 2008 se explica lo que continúa pendiente de cumplimiento respecto a la presente medida de reparación:</w:t>
      </w:r>
    </w:p>
    <w:p w:rsidR="002E1EE9" w:rsidRPr="002E1EE9" w:rsidRDefault="002E1EE9" w:rsidP="002E1EE9">
      <w:pPr>
        <w:spacing w:before="120" w:after="120"/>
        <w:ind w:left="360" w:right="720"/>
        <w:jc w:val="both"/>
        <w:rPr>
          <w:rFonts w:ascii="Verdana" w:hAnsi="Verdana"/>
          <w:sz w:val="16"/>
          <w:szCs w:val="16"/>
        </w:rPr>
      </w:pPr>
      <w:r w:rsidRPr="002E1EE9">
        <w:rPr>
          <w:rFonts w:ascii="Verdana" w:hAnsi="Verdana"/>
          <w:sz w:val="16"/>
          <w:szCs w:val="16"/>
        </w:rPr>
        <w:lastRenderedPageBreak/>
        <w:t>22.</w:t>
      </w:r>
      <w:r w:rsidRPr="002E1EE9">
        <w:rPr>
          <w:rFonts w:ascii="Verdana" w:hAnsi="Verdana"/>
          <w:sz w:val="16"/>
          <w:szCs w:val="16"/>
        </w:rPr>
        <w:tab/>
        <w:t>Que la Corte considera que el Estado ha realizado algunas gestiones para dar cumplimiento a este punto de la Sentencia, pero considera adecuado recibir mayor información por parte del Estado, en especial sobre la alegada falta de provisión de medicamentos a la víctima. Asimismo, el Tribunal estima apropiado que los representantes confirmen si el deseo del señor Raxcacó Reyes es el de no recibir tratamiento psicológico.</w:t>
      </w:r>
    </w:p>
    <w:p w:rsidR="002E1EE9" w:rsidRDefault="002E1EE9"/>
    <w:sectPr w:rsidR="002E1E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9A5" w:rsidRDefault="004179A5" w:rsidP="007776A1">
      <w:r>
        <w:separator/>
      </w:r>
    </w:p>
  </w:endnote>
  <w:endnote w:type="continuationSeparator" w:id="0">
    <w:p w:rsidR="004179A5" w:rsidRDefault="004179A5" w:rsidP="0077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6A1" w:rsidRPr="00A950A1" w:rsidRDefault="007776A1" w:rsidP="007776A1">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7776A1" w:rsidRPr="007776A1" w:rsidRDefault="007776A1">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9A5" w:rsidRDefault="004179A5" w:rsidP="007776A1">
      <w:r>
        <w:separator/>
      </w:r>
    </w:p>
  </w:footnote>
  <w:footnote w:type="continuationSeparator" w:id="0">
    <w:p w:rsidR="004179A5" w:rsidRDefault="004179A5" w:rsidP="0077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894422"/>
      <w:docPartObj>
        <w:docPartGallery w:val="Page Numbers (Top of Page)"/>
        <w:docPartUnique/>
      </w:docPartObj>
    </w:sdtPr>
    <w:sdtEndPr>
      <w:rPr>
        <w:noProof/>
      </w:rPr>
    </w:sdtEndPr>
    <w:sdtContent>
      <w:p w:rsidR="007776A1" w:rsidRDefault="007776A1">
        <w:pPr>
          <w:pStyle w:val="Encabezado"/>
          <w:jc w:val="right"/>
        </w:pPr>
        <w:r w:rsidRPr="007776A1">
          <w:rPr>
            <w:rFonts w:ascii="Verdana" w:hAnsi="Verdana"/>
            <w:sz w:val="20"/>
            <w:szCs w:val="20"/>
          </w:rPr>
          <w:fldChar w:fldCharType="begin"/>
        </w:r>
        <w:r w:rsidRPr="007776A1">
          <w:rPr>
            <w:rFonts w:ascii="Verdana" w:hAnsi="Verdana"/>
            <w:sz w:val="20"/>
            <w:szCs w:val="20"/>
          </w:rPr>
          <w:instrText xml:space="preserve"> PAGE   \* MERGEFORMAT </w:instrText>
        </w:r>
        <w:r w:rsidRPr="007776A1">
          <w:rPr>
            <w:rFonts w:ascii="Verdana" w:hAnsi="Verdana"/>
            <w:sz w:val="20"/>
            <w:szCs w:val="20"/>
          </w:rPr>
          <w:fldChar w:fldCharType="separate"/>
        </w:r>
        <w:r w:rsidR="00F8381B">
          <w:rPr>
            <w:rFonts w:ascii="Verdana" w:hAnsi="Verdana"/>
            <w:noProof/>
            <w:sz w:val="20"/>
            <w:szCs w:val="20"/>
          </w:rPr>
          <w:t>1</w:t>
        </w:r>
        <w:r w:rsidRPr="007776A1">
          <w:rPr>
            <w:rFonts w:ascii="Verdana" w:hAnsi="Verdana"/>
            <w:noProof/>
            <w:sz w:val="20"/>
            <w:szCs w:val="20"/>
          </w:rPr>
          <w:fldChar w:fldCharType="end"/>
        </w:r>
      </w:p>
    </w:sdtContent>
  </w:sdt>
  <w:p w:rsidR="007776A1" w:rsidRPr="007776A1" w:rsidRDefault="007776A1">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2042"/>
    <w:multiLevelType w:val="hybridMultilevel"/>
    <w:tmpl w:val="EE9A46D0"/>
    <w:lvl w:ilvl="0" w:tplc="318AFD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B62F6"/>
    <w:multiLevelType w:val="hybridMultilevel"/>
    <w:tmpl w:val="32C62B2E"/>
    <w:lvl w:ilvl="0" w:tplc="ED9652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0C"/>
    <w:rsid w:val="00060BB8"/>
    <w:rsid w:val="002E1EE9"/>
    <w:rsid w:val="003A7E5E"/>
    <w:rsid w:val="004179A5"/>
    <w:rsid w:val="00513933"/>
    <w:rsid w:val="005D6B0C"/>
    <w:rsid w:val="007776A1"/>
    <w:rsid w:val="009832C0"/>
    <w:rsid w:val="00C06308"/>
    <w:rsid w:val="00CB7CB9"/>
    <w:rsid w:val="00F8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DDBFD-0D07-430C-8BA8-EAB1140F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B0C"/>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76A1"/>
    <w:pPr>
      <w:tabs>
        <w:tab w:val="center" w:pos="4680"/>
        <w:tab w:val="right" w:pos="9360"/>
      </w:tabs>
    </w:pPr>
  </w:style>
  <w:style w:type="character" w:customStyle="1" w:styleId="EncabezadoCar">
    <w:name w:val="Encabezado Car"/>
    <w:basedOn w:val="Fuentedeprrafopredeter"/>
    <w:link w:val="Encabezado"/>
    <w:uiPriority w:val="99"/>
    <w:rsid w:val="007776A1"/>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7776A1"/>
    <w:pPr>
      <w:tabs>
        <w:tab w:val="center" w:pos="4680"/>
        <w:tab w:val="right" w:pos="9360"/>
      </w:tabs>
    </w:pPr>
  </w:style>
  <w:style w:type="character" w:customStyle="1" w:styleId="PiedepginaCar">
    <w:name w:val="Pie de página Car"/>
    <w:basedOn w:val="Fuentedeprrafopredeter"/>
    <w:link w:val="Piedepgina"/>
    <w:uiPriority w:val="99"/>
    <w:rsid w:val="007776A1"/>
    <w:rPr>
      <w:rFonts w:ascii="Times New Roman" w:eastAsia="Times New Roman" w:hAnsi="Times New Roman" w:cs="Times New Roman"/>
      <w:sz w:val="24"/>
      <w:szCs w:val="24"/>
      <w:lang w:val="es-ES_tradnl" w:eastAsia="es-ES"/>
    </w:rPr>
  </w:style>
  <w:style w:type="paragraph" w:styleId="Prrafodelista">
    <w:name w:val="List Paragraph"/>
    <w:basedOn w:val="Normal"/>
    <w:uiPriority w:val="34"/>
    <w:qFormat/>
    <w:rsid w:val="002E1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2789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2019-04-09T19:16:00Z</dcterms:created>
  <dcterms:modified xsi:type="dcterms:W3CDTF">2019-04-09T19:16:00Z</dcterms:modified>
</cp:coreProperties>
</file>