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786F" w14:textId="72F095A4" w:rsidR="00214AB7" w:rsidRPr="00EA0D60" w:rsidRDefault="00665E33" w:rsidP="00214AB7">
      <w:pPr>
        <w:jc w:val="center"/>
      </w:pPr>
      <w:proofErr w:type="spellStart"/>
      <w:r>
        <w:rPr>
          <w:b/>
          <w:iCs/>
          <w:sz w:val="20"/>
          <w:szCs w:val="20"/>
          <w:u w:val="single"/>
          <w:lang w:val="es-CR"/>
        </w:rPr>
        <w:t>Baptiste</w:t>
      </w:r>
      <w:proofErr w:type="spellEnd"/>
      <w:r>
        <w:rPr>
          <w:b/>
          <w:iCs/>
          <w:sz w:val="20"/>
          <w:szCs w:val="20"/>
          <w:u w:val="single"/>
          <w:lang w:val="es-CR"/>
        </w:rPr>
        <w:t xml:space="preserve"> y otros</w:t>
      </w:r>
      <w:r w:rsidR="00484D15">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Pr>
          <w:b/>
          <w:iCs/>
          <w:sz w:val="20"/>
          <w:szCs w:val="20"/>
          <w:u w:val="single"/>
          <w:lang w:val="es-CR"/>
        </w:rPr>
        <w:t>Haití</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47F09BE1" w14:textId="77777777" w:rsidR="00F243DB" w:rsidRDefault="00F243DB" w:rsidP="00D04E5C">
      <w:pPr>
        <w:jc w:val="both"/>
        <w:rPr>
          <w:sz w:val="20"/>
          <w:szCs w:val="20"/>
        </w:rPr>
      </w:pPr>
    </w:p>
    <w:p w14:paraId="5C515C19" w14:textId="3AC91811" w:rsidR="00665E33" w:rsidRPr="00665E33" w:rsidRDefault="00955D28" w:rsidP="00665E33">
      <w:pPr>
        <w:jc w:val="both"/>
        <w:rPr>
          <w:sz w:val="20"/>
          <w:szCs w:val="20"/>
        </w:rPr>
      </w:pPr>
      <w:r w:rsidRPr="00665E33">
        <w:rPr>
          <w:sz w:val="20"/>
          <w:szCs w:val="20"/>
        </w:rPr>
        <w:t xml:space="preserve">1. </w:t>
      </w:r>
      <w:r w:rsidRPr="00665E33">
        <w:rPr>
          <w:sz w:val="20"/>
          <w:szCs w:val="20"/>
        </w:rPr>
        <w:tab/>
      </w:r>
      <w:r w:rsidR="00665E33" w:rsidRPr="00665E33">
        <w:rPr>
          <w:sz w:val="20"/>
          <w:szCs w:val="20"/>
        </w:rPr>
        <w:t xml:space="preserve">El Estado deberá brindar garantías de retorno o reubicación a las víctimas desplazadas que así lo requieran, mediante el otorgamiento de medidas de seguridad efectivas para un retorno digno a su lugar de residencia habitual o bien su reasentamiento voluntario en otra parte del país, en los términos del párrafo 95 de la Sentencia. </w:t>
      </w:r>
    </w:p>
    <w:p w14:paraId="181E9D34" w14:textId="77777777" w:rsidR="00665E33" w:rsidRPr="00665E33" w:rsidRDefault="00665E33" w:rsidP="00665E33">
      <w:pPr>
        <w:jc w:val="both"/>
        <w:rPr>
          <w:sz w:val="20"/>
          <w:szCs w:val="20"/>
        </w:rPr>
      </w:pPr>
    </w:p>
    <w:p w14:paraId="16F2A916" w14:textId="2289E40D" w:rsidR="00665E33" w:rsidRPr="00665E33" w:rsidRDefault="00C42B12" w:rsidP="00665E33">
      <w:pPr>
        <w:jc w:val="both"/>
        <w:rPr>
          <w:sz w:val="20"/>
          <w:szCs w:val="20"/>
        </w:rPr>
      </w:pPr>
      <w:r>
        <w:rPr>
          <w:sz w:val="20"/>
          <w:szCs w:val="20"/>
        </w:rPr>
        <w:t>2</w:t>
      </w:r>
      <w:r w:rsidR="00665E33" w:rsidRPr="00665E33">
        <w:rPr>
          <w:sz w:val="20"/>
          <w:szCs w:val="20"/>
        </w:rPr>
        <w:t xml:space="preserve">. </w:t>
      </w:r>
      <w:r w:rsidR="00665E33" w:rsidRPr="00665E33">
        <w:rPr>
          <w:sz w:val="20"/>
          <w:szCs w:val="20"/>
        </w:rPr>
        <w:tab/>
      </w:r>
      <w:r w:rsidR="00665E33" w:rsidRPr="00665E33">
        <w:rPr>
          <w:sz w:val="20"/>
          <w:szCs w:val="20"/>
        </w:rPr>
        <w:t xml:space="preserve">El Estado deberá iniciar y conducir eficazmente y con la mayor diligencia una investigación que examine de forma conjunta los diferentes hechos alegados en el presente caso, en los términos de los párrafos 98 y 99 de la Sentencia. </w:t>
      </w:r>
    </w:p>
    <w:p w14:paraId="11424AB6" w14:textId="77777777" w:rsidR="00665E33" w:rsidRPr="00665E33" w:rsidRDefault="00665E33" w:rsidP="00665E33">
      <w:pPr>
        <w:jc w:val="both"/>
        <w:rPr>
          <w:sz w:val="20"/>
          <w:szCs w:val="20"/>
        </w:rPr>
      </w:pPr>
    </w:p>
    <w:p w14:paraId="6E589C9E" w14:textId="7DAE613E" w:rsidR="00665E33" w:rsidRPr="00665E33" w:rsidRDefault="00C42B12" w:rsidP="00665E33">
      <w:pPr>
        <w:jc w:val="both"/>
        <w:rPr>
          <w:sz w:val="20"/>
          <w:szCs w:val="20"/>
        </w:rPr>
      </w:pPr>
      <w:r>
        <w:rPr>
          <w:sz w:val="20"/>
          <w:szCs w:val="20"/>
        </w:rPr>
        <w:t>3</w:t>
      </w:r>
      <w:r w:rsidR="00665E33" w:rsidRPr="00665E33">
        <w:rPr>
          <w:sz w:val="20"/>
          <w:szCs w:val="20"/>
        </w:rPr>
        <w:t xml:space="preserve">. </w:t>
      </w:r>
      <w:r w:rsidR="00665E33" w:rsidRPr="00665E33">
        <w:rPr>
          <w:sz w:val="20"/>
          <w:szCs w:val="20"/>
        </w:rPr>
        <w:tab/>
      </w:r>
      <w:r w:rsidR="00665E33" w:rsidRPr="00665E33">
        <w:rPr>
          <w:sz w:val="20"/>
          <w:szCs w:val="20"/>
        </w:rPr>
        <w:t xml:space="preserve">El Estado realizará las publicaciones ordenadas en los párrafos 105 y 106 de la Sentencia. </w:t>
      </w:r>
    </w:p>
    <w:p w14:paraId="5B116435" w14:textId="77777777" w:rsidR="00665E33" w:rsidRPr="00665E33" w:rsidRDefault="00665E33" w:rsidP="00665E33">
      <w:pPr>
        <w:jc w:val="both"/>
        <w:rPr>
          <w:sz w:val="20"/>
          <w:szCs w:val="20"/>
        </w:rPr>
      </w:pPr>
    </w:p>
    <w:p w14:paraId="60B2A1E4" w14:textId="32BB5B62" w:rsidR="00665E33" w:rsidRPr="00665E33" w:rsidRDefault="00C42B12" w:rsidP="00665E33">
      <w:pPr>
        <w:jc w:val="both"/>
        <w:rPr>
          <w:sz w:val="20"/>
          <w:szCs w:val="20"/>
        </w:rPr>
      </w:pPr>
      <w:r>
        <w:rPr>
          <w:sz w:val="20"/>
          <w:szCs w:val="20"/>
        </w:rPr>
        <w:t>4</w:t>
      </w:r>
      <w:r w:rsidR="00665E33" w:rsidRPr="00665E33">
        <w:rPr>
          <w:sz w:val="20"/>
          <w:szCs w:val="20"/>
        </w:rPr>
        <w:t xml:space="preserve">. </w:t>
      </w:r>
      <w:r w:rsidR="00665E33" w:rsidRPr="00665E33">
        <w:rPr>
          <w:sz w:val="20"/>
          <w:szCs w:val="20"/>
        </w:rPr>
        <w:tab/>
      </w:r>
      <w:r w:rsidR="00665E33" w:rsidRPr="00665E33">
        <w:rPr>
          <w:sz w:val="20"/>
          <w:szCs w:val="20"/>
        </w:rPr>
        <w:t xml:space="preserve">El Estado deberá adoptar las decisiones institucionales y dar las instrucciones que correspondan para establecer dentro de la Policía Nacional un programa de protección para personas en situación de riesgo debido a la delincuencia organizada, en los términos del párrafo 112 de la Sentencia. </w:t>
      </w:r>
    </w:p>
    <w:p w14:paraId="65C1A2D2" w14:textId="77777777" w:rsidR="00665E33" w:rsidRPr="00665E33" w:rsidRDefault="00665E33" w:rsidP="00665E33">
      <w:pPr>
        <w:jc w:val="both"/>
        <w:rPr>
          <w:sz w:val="20"/>
          <w:szCs w:val="20"/>
        </w:rPr>
      </w:pPr>
    </w:p>
    <w:p w14:paraId="1EB101C4" w14:textId="5260C069" w:rsidR="00665E33" w:rsidRPr="00665E33" w:rsidRDefault="00C42B12" w:rsidP="00665E33">
      <w:pPr>
        <w:jc w:val="both"/>
        <w:rPr>
          <w:sz w:val="20"/>
          <w:szCs w:val="20"/>
        </w:rPr>
      </w:pPr>
      <w:r>
        <w:rPr>
          <w:sz w:val="20"/>
          <w:szCs w:val="20"/>
        </w:rPr>
        <w:t>5</w:t>
      </w:r>
      <w:r w:rsidR="00665E33" w:rsidRPr="00665E33">
        <w:rPr>
          <w:sz w:val="20"/>
          <w:szCs w:val="20"/>
        </w:rPr>
        <w:t xml:space="preserve">. </w:t>
      </w:r>
      <w:r w:rsidR="00665E33" w:rsidRPr="00665E33">
        <w:rPr>
          <w:sz w:val="20"/>
          <w:szCs w:val="20"/>
        </w:rPr>
        <w:tab/>
      </w:r>
      <w:r w:rsidR="00665E33" w:rsidRPr="00665E33">
        <w:rPr>
          <w:sz w:val="20"/>
          <w:szCs w:val="20"/>
        </w:rPr>
        <w:t xml:space="preserve">El Estado deberá adoptar las medidas normativas e institucionales para la creación de una Fiscalía especializada para investigar las bandas de delincuencia organizada, en los términos del párrafo 113 de la Sentencia. </w:t>
      </w:r>
    </w:p>
    <w:p w14:paraId="3DF1D676" w14:textId="77777777" w:rsidR="00665E33" w:rsidRPr="00665E33" w:rsidRDefault="00665E33" w:rsidP="00665E33">
      <w:pPr>
        <w:jc w:val="both"/>
        <w:rPr>
          <w:sz w:val="20"/>
          <w:szCs w:val="20"/>
        </w:rPr>
      </w:pPr>
    </w:p>
    <w:p w14:paraId="02585EC7" w14:textId="2B026313" w:rsidR="00D04E5C" w:rsidRDefault="00C42B12" w:rsidP="00665E33">
      <w:pPr>
        <w:jc w:val="both"/>
        <w:rPr>
          <w:sz w:val="20"/>
          <w:szCs w:val="20"/>
        </w:rPr>
      </w:pPr>
      <w:r>
        <w:rPr>
          <w:sz w:val="20"/>
          <w:szCs w:val="20"/>
        </w:rPr>
        <w:t>6</w:t>
      </w:r>
      <w:r w:rsidR="00665E33" w:rsidRPr="00665E33">
        <w:rPr>
          <w:sz w:val="20"/>
          <w:szCs w:val="20"/>
        </w:rPr>
        <w:t xml:space="preserve">. </w:t>
      </w:r>
      <w:r w:rsidR="00665E33" w:rsidRPr="00665E33">
        <w:rPr>
          <w:sz w:val="20"/>
          <w:szCs w:val="20"/>
        </w:rPr>
        <w:tab/>
      </w:r>
      <w:r w:rsidR="00665E33" w:rsidRPr="00665E33">
        <w:rPr>
          <w:sz w:val="20"/>
          <w:szCs w:val="20"/>
        </w:rPr>
        <w:t xml:space="preserve">El Estado pagará las cantidades fijadas en </w:t>
      </w:r>
      <w:r w:rsidR="00510845">
        <w:rPr>
          <w:sz w:val="20"/>
          <w:szCs w:val="20"/>
        </w:rPr>
        <w:t>el</w:t>
      </w:r>
      <w:r w:rsidR="00665E33" w:rsidRPr="00665E33">
        <w:rPr>
          <w:sz w:val="20"/>
          <w:szCs w:val="20"/>
        </w:rPr>
        <w:t xml:space="preserve"> párrafo 102 de la Sentencia por concepto de medida de rehabilitación, en los términos de los párrafos 129 a 134 de la Sentencia.</w:t>
      </w:r>
    </w:p>
    <w:p w14:paraId="2E1F7858" w14:textId="77777777" w:rsidR="00510845" w:rsidRDefault="00510845" w:rsidP="00665E33">
      <w:pPr>
        <w:jc w:val="both"/>
        <w:rPr>
          <w:sz w:val="20"/>
          <w:szCs w:val="20"/>
        </w:rPr>
      </w:pPr>
    </w:p>
    <w:p w14:paraId="154C6A3C" w14:textId="75DBD7EC" w:rsidR="00510845" w:rsidRPr="00665E33" w:rsidRDefault="00C42B12" w:rsidP="00510845">
      <w:pPr>
        <w:jc w:val="both"/>
        <w:rPr>
          <w:rFonts w:eastAsia="Cambria" w:cs="Times New Roman"/>
          <w:bCs/>
          <w:sz w:val="20"/>
          <w:szCs w:val="20"/>
          <w:lang w:val="es-ES"/>
        </w:rPr>
      </w:pPr>
      <w:r>
        <w:rPr>
          <w:sz w:val="20"/>
          <w:szCs w:val="20"/>
        </w:rPr>
        <w:t>7</w:t>
      </w:r>
      <w:r w:rsidR="00510845" w:rsidRPr="00665E33">
        <w:rPr>
          <w:sz w:val="20"/>
          <w:szCs w:val="20"/>
        </w:rPr>
        <w:t xml:space="preserve">. </w:t>
      </w:r>
      <w:r w:rsidR="00510845" w:rsidRPr="00665E33">
        <w:rPr>
          <w:sz w:val="20"/>
          <w:szCs w:val="20"/>
        </w:rPr>
        <w:tab/>
        <w:t xml:space="preserve">El Estado pagará las cantidades fijadas en </w:t>
      </w:r>
      <w:r>
        <w:rPr>
          <w:sz w:val="20"/>
          <w:szCs w:val="20"/>
        </w:rPr>
        <w:t>el</w:t>
      </w:r>
      <w:r w:rsidR="00510845" w:rsidRPr="00665E33">
        <w:rPr>
          <w:sz w:val="20"/>
          <w:szCs w:val="20"/>
        </w:rPr>
        <w:t xml:space="preserve"> párrafo 124 de la Sentencia por concepto de indemnización por daño material e inmaterial, en los términos de los párrafos 129 a 134 de la Sentencia.</w:t>
      </w:r>
    </w:p>
    <w:p w14:paraId="4B97B01F" w14:textId="77777777" w:rsidR="00510845" w:rsidRPr="00665E33" w:rsidRDefault="00510845" w:rsidP="00665E33">
      <w:pPr>
        <w:jc w:val="both"/>
        <w:rPr>
          <w:rFonts w:eastAsia="Cambria" w:cs="Times New Roman"/>
          <w:bCs/>
          <w:sz w:val="20"/>
          <w:szCs w:val="20"/>
          <w:lang w:val="es-ES"/>
        </w:rPr>
      </w:pPr>
    </w:p>
    <w:sectPr w:rsidR="00510845" w:rsidRPr="00665E3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9684" w14:textId="77777777" w:rsidR="00BE6443" w:rsidRDefault="00BE6443" w:rsidP="009F7EF4">
      <w:r>
        <w:separator/>
      </w:r>
    </w:p>
  </w:endnote>
  <w:endnote w:type="continuationSeparator" w:id="0">
    <w:p w14:paraId="3479B84A" w14:textId="77777777" w:rsidR="00BE6443" w:rsidRDefault="00BE644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C656" w14:textId="77777777" w:rsidR="00BE6443" w:rsidRDefault="00BE6443" w:rsidP="009F7EF4">
      <w:r>
        <w:separator/>
      </w:r>
    </w:p>
  </w:footnote>
  <w:footnote w:type="continuationSeparator" w:id="0">
    <w:p w14:paraId="0A97AD95" w14:textId="77777777" w:rsidR="00BE6443" w:rsidRDefault="00BE644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FC45F28"/>
    <w:multiLevelType w:val="multilevel"/>
    <w:tmpl w:val="9DDC7E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7"/>
  </w:num>
  <w:num w:numId="2" w16cid:durableId="1006977419">
    <w:abstractNumId w:val="3"/>
  </w:num>
  <w:num w:numId="3" w16cid:durableId="1898857309">
    <w:abstractNumId w:val="6"/>
  </w:num>
  <w:num w:numId="4" w16cid:durableId="813376198">
    <w:abstractNumId w:val="0"/>
  </w:num>
  <w:num w:numId="5" w16cid:durableId="1301183043">
    <w:abstractNumId w:val="2"/>
  </w:num>
  <w:num w:numId="6" w16cid:durableId="1987202998">
    <w:abstractNumId w:val="4"/>
  </w:num>
  <w:num w:numId="7" w16cid:durableId="834998481">
    <w:abstractNumId w:val="5"/>
  </w:num>
  <w:num w:numId="8" w16cid:durableId="244460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25CD3"/>
    <w:rsid w:val="00045216"/>
    <w:rsid w:val="000930F6"/>
    <w:rsid w:val="0009537E"/>
    <w:rsid w:val="00097803"/>
    <w:rsid w:val="00101CC6"/>
    <w:rsid w:val="001426AA"/>
    <w:rsid w:val="001729AE"/>
    <w:rsid w:val="001E4579"/>
    <w:rsid w:val="001F3394"/>
    <w:rsid w:val="00206FE0"/>
    <w:rsid w:val="00214AB7"/>
    <w:rsid w:val="00291327"/>
    <w:rsid w:val="00296F77"/>
    <w:rsid w:val="002B3295"/>
    <w:rsid w:val="002E376C"/>
    <w:rsid w:val="003A7E5E"/>
    <w:rsid w:val="003C561A"/>
    <w:rsid w:val="003E2FF4"/>
    <w:rsid w:val="00474D04"/>
    <w:rsid w:val="00476F6E"/>
    <w:rsid w:val="00484D15"/>
    <w:rsid w:val="004D4FC6"/>
    <w:rsid w:val="00510845"/>
    <w:rsid w:val="005154EE"/>
    <w:rsid w:val="005A203D"/>
    <w:rsid w:val="005D1A85"/>
    <w:rsid w:val="006022F0"/>
    <w:rsid w:val="00617B3E"/>
    <w:rsid w:val="00665E33"/>
    <w:rsid w:val="006A777A"/>
    <w:rsid w:val="006C38A6"/>
    <w:rsid w:val="006E15DE"/>
    <w:rsid w:val="00792165"/>
    <w:rsid w:val="00834F1A"/>
    <w:rsid w:val="00867C2F"/>
    <w:rsid w:val="00876E46"/>
    <w:rsid w:val="00926FFB"/>
    <w:rsid w:val="00955D28"/>
    <w:rsid w:val="009832C0"/>
    <w:rsid w:val="009C43EC"/>
    <w:rsid w:val="009D22BE"/>
    <w:rsid w:val="009D6A26"/>
    <w:rsid w:val="009F7EF4"/>
    <w:rsid w:val="00A1649A"/>
    <w:rsid w:val="00A177C4"/>
    <w:rsid w:val="00A721F8"/>
    <w:rsid w:val="00AA2296"/>
    <w:rsid w:val="00AA6B2F"/>
    <w:rsid w:val="00AE0035"/>
    <w:rsid w:val="00B03BA7"/>
    <w:rsid w:val="00B11B9B"/>
    <w:rsid w:val="00B32A37"/>
    <w:rsid w:val="00B33305"/>
    <w:rsid w:val="00BA6BA9"/>
    <w:rsid w:val="00BC5824"/>
    <w:rsid w:val="00BE56CA"/>
    <w:rsid w:val="00BE6443"/>
    <w:rsid w:val="00BF3ECD"/>
    <w:rsid w:val="00C04CCC"/>
    <w:rsid w:val="00C42B12"/>
    <w:rsid w:val="00C4747D"/>
    <w:rsid w:val="00C66067"/>
    <w:rsid w:val="00C807CF"/>
    <w:rsid w:val="00CA1142"/>
    <w:rsid w:val="00CF3296"/>
    <w:rsid w:val="00CF5AE9"/>
    <w:rsid w:val="00D042E3"/>
    <w:rsid w:val="00D04E5C"/>
    <w:rsid w:val="00D26E80"/>
    <w:rsid w:val="00D3440D"/>
    <w:rsid w:val="00D843BF"/>
    <w:rsid w:val="00E42392"/>
    <w:rsid w:val="00E45105"/>
    <w:rsid w:val="00E50670"/>
    <w:rsid w:val="00E507C2"/>
    <w:rsid w:val="00E5304C"/>
    <w:rsid w:val="00E85D9E"/>
    <w:rsid w:val="00EA3419"/>
    <w:rsid w:val="00ED29C6"/>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semiHidden/>
    <w:unhideWhenUsed/>
    <w:rsid w:val="00D04E5C"/>
    <w:pPr>
      <w:spacing w:before="100" w:beforeAutospacing="1" w:after="100" w:afterAutospacing="1"/>
    </w:pPr>
    <w:rPr>
      <w:rFonts w:ascii="Times New Roman" w:eastAsia="Times New Roman" w:hAnsi="Times New Roman" w:cs="Times New Roman"/>
      <w:sz w:val="24"/>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60773">
      <w:bodyDiv w:val="1"/>
      <w:marLeft w:val="0"/>
      <w:marRight w:val="0"/>
      <w:marTop w:val="0"/>
      <w:marBottom w:val="0"/>
      <w:divBdr>
        <w:top w:val="none" w:sz="0" w:space="0" w:color="auto"/>
        <w:left w:val="none" w:sz="0" w:space="0" w:color="auto"/>
        <w:bottom w:val="none" w:sz="0" w:space="0" w:color="auto"/>
        <w:right w:val="none" w:sz="0" w:space="0" w:color="auto"/>
      </w:divBdr>
      <w:divsChild>
        <w:div w:id="106396097">
          <w:marLeft w:val="0"/>
          <w:marRight w:val="0"/>
          <w:marTop w:val="0"/>
          <w:marBottom w:val="0"/>
          <w:divBdr>
            <w:top w:val="none" w:sz="0" w:space="0" w:color="auto"/>
            <w:left w:val="none" w:sz="0" w:space="0" w:color="auto"/>
            <w:bottom w:val="none" w:sz="0" w:space="0" w:color="auto"/>
            <w:right w:val="none" w:sz="0" w:space="0" w:color="auto"/>
          </w:divBdr>
          <w:divsChild>
            <w:div w:id="548610037">
              <w:marLeft w:val="0"/>
              <w:marRight w:val="0"/>
              <w:marTop w:val="0"/>
              <w:marBottom w:val="0"/>
              <w:divBdr>
                <w:top w:val="none" w:sz="0" w:space="0" w:color="auto"/>
                <w:left w:val="none" w:sz="0" w:space="0" w:color="auto"/>
                <w:bottom w:val="none" w:sz="0" w:space="0" w:color="auto"/>
                <w:right w:val="none" w:sz="0" w:space="0" w:color="auto"/>
              </w:divBdr>
              <w:divsChild>
                <w:div w:id="19588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9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370302">
          <w:marLeft w:val="0"/>
          <w:marRight w:val="0"/>
          <w:marTop w:val="0"/>
          <w:marBottom w:val="0"/>
          <w:divBdr>
            <w:top w:val="none" w:sz="0" w:space="0" w:color="auto"/>
            <w:left w:val="none" w:sz="0" w:space="0" w:color="auto"/>
            <w:bottom w:val="none" w:sz="0" w:space="0" w:color="auto"/>
            <w:right w:val="none" w:sz="0" w:space="0" w:color="auto"/>
          </w:divBdr>
          <w:divsChild>
            <w:div w:id="1625308376">
              <w:marLeft w:val="0"/>
              <w:marRight w:val="0"/>
              <w:marTop w:val="0"/>
              <w:marBottom w:val="0"/>
              <w:divBdr>
                <w:top w:val="none" w:sz="0" w:space="0" w:color="auto"/>
                <w:left w:val="none" w:sz="0" w:space="0" w:color="auto"/>
                <w:bottom w:val="none" w:sz="0" w:space="0" w:color="auto"/>
                <w:right w:val="none" w:sz="0" w:space="0" w:color="auto"/>
              </w:divBdr>
              <w:divsChild>
                <w:div w:id="14502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252</Words>
  <Characters>1390</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8</cp:revision>
  <cp:lastPrinted>2021-09-15T18:01:00Z</cp:lastPrinted>
  <dcterms:created xsi:type="dcterms:W3CDTF">2023-05-14T18:05:00Z</dcterms:created>
  <dcterms:modified xsi:type="dcterms:W3CDTF">2024-01-26T19:49:00Z</dcterms:modified>
</cp:coreProperties>
</file>