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E40" w:rsidRPr="003D4E40" w:rsidRDefault="003D4E40" w:rsidP="003D4E40">
      <w:pPr>
        <w:jc w:val="center"/>
        <w:rPr>
          <w:b/>
          <w:i/>
          <w:sz w:val="20"/>
          <w:szCs w:val="20"/>
          <w:u w:val="single"/>
          <w:lang w:val="es-CR"/>
        </w:rPr>
      </w:pPr>
      <w:r w:rsidRPr="003D4E40">
        <w:rPr>
          <w:b/>
          <w:i/>
          <w:sz w:val="20"/>
          <w:szCs w:val="20"/>
          <w:u w:val="single"/>
          <w:lang w:val="es-CR"/>
        </w:rPr>
        <w:t>Caso Comunidad Garífuna de Punta Piedra y sus miembros Vs. Honduras:</w:t>
      </w:r>
    </w:p>
    <w:p w:rsidR="006E7F48" w:rsidRPr="003D4E40" w:rsidRDefault="003D4E40" w:rsidP="003D4E40">
      <w:pPr>
        <w:jc w:val="center"/>
      </w:pPr>
      <w:r w:rsidRPr="003D4E40">
        <w:rPr>
          <w:b/>
          <w:sz w:val="20"/>
          <w:szCs w:val="20"/>
          <w:u w:val="single"/>
          <w:lang w:val="es-CR"/>
        </w:rPr>
        <w:t>reparaciones pendientes de cumplimiento</w:t>
      </w:r>
    </w:p>
    <w:p w:rsidR="00C4747D" w:rsidRPr="00C77C0C" w:rsidRDefault="00C4747D" w:rsidP="00C77C0C">
      <w:pPr>
        <w:rPr>
          <w:sz w:val="20"/>
          <w:szCs w:val="20"/>
        </w:rPr>
      </w:pPr>
    </w:p>
    <w:p w:rsidR="003D4E40" w:rsidRDefault="003D4E40" w:rsidP="003D4E40">
      <w:pPr>
        <w:jc w:val="both"/>
        <w:rPr>
          <w:rFonts w:eastAsia="Cambria" w:cs="Times New Roman"/>
          <w:bCs/>
          <w:sz w:val="20"/>
          <w:szCs w:val="20"/>
          <w:lang w:val="es-ES"/>
        </w:rPr>
      </w:pPr>
    </w:p>
    <w:p w:rsidR="003D4E40" w:rsidRPr="003D4E40" w:rsidRDefault="003D4E40" w:rsidP="003D4E40">
      <w:pPr>
        <w:jc w:val="both"/>
        <w:rPr>
          <w:rFonts w:eastAsia="Cambria" w:cs="Times New Roman"/>
          <w:bCs/>
          <w:sz w:val="20"/>
          <w:szCs w:val="20"/>
          <w:lang w:val="es-ES"/>
        </w:rPr>
      </w:pPr>
      <w:r>
        <w:rPr>
          <w:rFonts w:eastAsia="Cambria" w:cs="Times New Roman"/>
          <w:bCs/>
          <w:sz w:val="20"/>
          <w:szCs w:val="20"/>
          <w:lang w:val="es-ES"/>
        </w:rPr>
        <w:t>1.</w:t>
      </w:r>
      <w:r>
        <w:rPr>
          <w:rFonts w:eastAsia="Cambria" w:cs="Times New Roman"/>
          <w:bCs/>
          <w:sz w:val="20"/>
          <w:szCs w:val="20"/>
          <w:lang w:val="es-ES"/>
        </w:rPr>
        <w:tab/>
      </w:r>
      <w:r w:rsidRPr="003D4E40">
        <w:rPr>
          <w:rFonts w:eastAsia="Cambria" w:cs="Times New Roman"/>
          <w:bCs/>
          <w:sz w:val="20"/>
          <w:szCs w:val="20"/>
          <w:lang w:val="es-ES"/>
        </w:rPr>
        <w:t>Garantizar el uso y goce, a través del saneamiento, de las tierras tradicionales que</w:t>
      </w:r>
      <w:r w:rsidR="00587A39">
        <w:rPr>
          <w:rFonts w:eastAsia="Cambria" w:cs="Times New Roman"/>
          <w:bCs/>
          <w:sz w:val="20"/>
          <w:szCs w:val="20"/>
          <w:lang w:val="es-ES"/>
        </w:rPr>
        <w:t xml:space="preserve"> </w:t>
      </w:r>
      <w:r w:rsidRPr="003D4E40">
        <w:rPr>
          <w:rFonts w:eastAsia="Cambria" w:cs="Times New Roman"/>
          <w:bCs/>
          <w:sz w:val="20"/>
          <w:szCs w:val="20"/>
          <w:lang w:val="es-ES"/>
        </w:rPr>
        <w:t>fueron tituladas por el Estado a favor de la Comunidad Garífuna de Punta Piedra, llevando a</w:t>
      </w:r>
      <w:r w:rsidR="00587A39">
        <w:rPr>
          <w:rFonts w:eastAsia="Cambria" w:cs="Times New Roman"/>
          <w:bCs/>
          <w:sz w:val="20"/>
          <w:szCs w:val="20"/>
          <w:lang w:val="es-ES"/>
        </w:rPr>
        <w:t xml:space="preserve"> </w:t>
      </w:r>
      <w:r w:rsidRPr="003D4E40">
        <w:rPr>
          <w:rFonts w:eastAsia="Cambria" w:cs="Times New Roman"/>
          <w:bCs/>
          <w:sz w:val="20"/>
          <w:szCs w:val="20"/>
          <w:lang w:val="es-ES"/>
        </w:rPr>
        <w:t>cabo dicha obligación de oficio y con extrema diligencia, en los términos y plazos establecidos</w:t>
      </w:r>
    </w:p>
    <w:p w:rsidR="003D4E40" w:rsidRPr="003D4E40" w:rsidRDefault="003D4E40" w:rsidP="003D4E40">
      <w:pPr>
        <w:jc w:val="both"/>
        <w:rPr>
          <w:rFonts w:eastAsia="Cambria" w:cs="Times New Roman"/>
          <w:bCs/>
          <w:sz w:val="20"/>
          <w:szCs w:val="20"/>
          <w:lang w:val="es-ES"/>
        </w:rPr>
      </w:pPr>
      <w:r w:rsidRPr="003D4E40">
        <w:rPr>
          <w:rFonts w:eastAsia="Cambria" w:cs="Times New Roman"/>
          <w:bCs/>
          <w:sz w:val="20"/>
          <w:szCs w:val="20"/>
          <w:lang w:val="es-ES"/>
        </w:rPr>
        <w:t>en los párrafos 322 a 326 de la presente Sentencia.</w:t>
      </w:r>
    </w:p>
    <w:p w:rsidR="003D4E40" w:rsidRDefault="003D4E40" w:rsidP="003D4E40">
      <w:pPr>
        <w:jc w:val="both"/>
        <w:rPr>
          <w:rFonts w:eastAsia="Cambria" w:cs="Times New Roman"/>
          <w:bCs/>
          <w:sz w:val="20"/>
          <w:szCs w:val="20"/>
          <w:lang w:val="es-ES"/>
        </w:rPr>
      </w:pPr>
    </w:p>
    <w:p w:rsidR="003D4E40" w:rsidRPr="003D4E40" w:rsidRDefault="00587A39" w:rsidP="003D4E40">
      <w:pPr>
        <w:jc w:val="both"/>
        <w:rPr>
          <w:rFonts w:eastAsia="Cambria" w:cs="Times New Roman"/>
          <w:bCs/>
          <w:sz w:val="20"/>
          <w:szCs w:val="20"/>
          <w:lang w:val="es-ES"/>
        </w:rPr>
      </w:pPr>
      <w:r>
        <w:rPr>
          <w:rFonts w:eastAsia="Cambria" w:cs="Times New Roman"/>
          <w:bCs/>
          <w:sz w:val="20"/>
          <w:szCs w:val="20"/>
          <w:lang w:val="es-ES"/>
        </w:rPr>
        <w:t>2</w:t>
      </w:r>
      <w:r w:rsidR="003D4E40">
        <w:rPr>
          <w:rFonts w:eastAsia="Cambria" w:cs="Times New Roman"/>
          <w:bCs/>
          <w:sz w:val="20"/>
          <w:szCs w:val="20"/>
          <w:lang w:val="es-ES"/>
        </w:rPr>
        <w:t>.</w:t>
      </w:r>
      <w:r w:rsidR="003D4E40">
        <w:rPr>
          <w:rFonts w:eastAsia="Cambria" w:cs="Times New Roman"/>
          <w:bCs/>
          <w:sz w:val="20"/>
          <w:szCs w:val="20"/>
          <w:lang w:val="es-ES"/>
        </w:rPr>
        <w:tab/>
      </w:r>
      <w:r w:rsidR="003D4E40" w:rsidRPr="003D4E40">
        <w:rPr>
          <w:rFonts w:eastAsia="Cambria" w:cs="Times New Roman"/>
          <w:bCs/>
          <w:sz w:val="20"/>
          <w:szCs w:val="20"/>
          <w:lang w:val="es-ES"/>
        </w:rPr>
        <w:t>Adoptar las medidas suficientes y necesarias, a fin de que sus disposiciones</w:t>
      </w:r>
      <w:r>
        <w:rPr>
          <w:rFonts w:eastAsia="Cambria" w:cs="Times New Roman"/>
          <w:bCs/>
          <w:sz w:val="20"/>
          <w:szCs w:val="20"/>
          <w:lang w:val="es-ES"/>
        </w:rPr>
        <w:t xml:space="preserve"> </w:t>
      </w:r>
      <w:r w:rsidR="003D4E40" w:rsidRPr="003D4E40">
        <w:rPr>
          <w:rFonts w:eastAsia="Cambria" w:cs="Times New Roman"/>
          <w:bCs/>
          <w:sz w:val="20"/>
          <w:szCs w:val="20"/>
          <w:lang w:val="es-ES"/>
        </w:rPr>
        <w:t>reglamentarias sobre minería no menoscaben el derecho a la consulta, en los términos de lo</w:t>
      </w:r>
    </w:p>
    <w:p w:rsidR="003D4E40" w:rsidRPr="003D4E40" w:rsidRDefault="003D4E40" w:rsidP="003D4E40">
      <w:pPr>
        <w:jc w:val="both"/>
        <w:rPr>
          <w:rFonts w:eastAsia="Cambria" w:cs="Times New Roman"/>
          <w:bCs/>
          <w:sz w:val="20"/>
          <w:szCs w:val="20"/>
          <w:lang w:val="es-ES"/>
        </w:rPr>
      </w:pPr>
      <w:r w:rsidRPr="003D4E40">
        <w:rPr>
          <w:rFonts w:eastAsia="Cambria" w:cs="Times New Roman"/>
          <w:bCs/>
          <w:sz w:val="20"/>
          <w:szCs w:val="20"/>
          <w:lang w:val="es-ES"/>
        </w:rPr>
        <w:t>establecido en los párrafos 344 a 346 de la presente Sentencia.</w:t>
      </w:r>
    </w:p>
    <w:p w:rsidR="003D4E40" w:rsidRDefault="003D4E40" w:rsidP="003D4E40">
      <w:pPr>
        <w:jc w:val="both"/>
        <w:rPr>
          <w:rFonts w:eastAsia="Cambria" w:cs="Times New Roman"/>
          <w:bCs/>
          <w:sz w:val="20"/>
          <w:szCs w:val="20"/>
          <w:lang w:val="es-ES"/>
        </w:rPr>
      </w:pPr>
    </w:p>
    <w:p w:rsidR="003D4E40" w:rsidRPr="003D4E40" w:rsidRDefault="00587A39" w:rsidP="003D4E40">
      <w:pPr>
        <w:jc w:val="both"/>
        <w:rPr>
          <w:rFonts w:eastAsia="Cambria" w:cs="Times New Roman"/>
          <w:bCs/>
          <w:sz w:val="20"/>
          <w:szCs w:val="20"/>
          <w:lang w:val="es-ES"/>
        </w:rPr>
      </w:pPr>
      <w:r>
        <w:rPr>
          <w:rFonts w:eastAsia="Cambria" w:cs="Times New Roman"/>
          <w:bCs/>
          <w:sz w:val="20"/>
          <w:szCs w:val="20"/>
          <w:lang w:val="es-ES"/>
        </w:rPr>
        <w:t>3</w:t>
      </w:r>
      <w:r w:rsidR="003D4E40">
        <w:rPr>
          <w:rFonts w:eastAsia="Cambria" w:cs="Times New Roman"/>
          <w:bCs/>
          <w:sz w:val="20"/>
          <w:szCs w:val="20"/>
          <w:lang w:val="es-ES"/>
        </w:rPr>
        <w:t>.</w:t>
      </w:r>
      <w:r w:rsidR="003D4E40">
        <w:rPr>
          <w:rFonts w:eastAsia="Cambria" w:cs="Times New Roman"/>
          <w:bCs/>
          <w:sz w:val="20"/>
          <w:szCs w:val="20"/>
          <w:lang w:val="es-ES"/>
        </w:rPr>
        <w:tab/>
      </w:r>
      <w:r w:rsidR="003D4E40" w:rsidRPr="003D4E40">
        <w:rPr>
          <w:rFonts w:eastAsia="Cambria" w:cs="Times New Roman"/>
          <w:bCs/>
          <w:sz w:val="20"/>
          <w:szCs w:val="20"/>
          <w:lang w:val="es-ES"/>
        </w:rPr>
        <w:t>Crear mecanismos adecuados para regular su sistema de Registro de Propiedad, en</w:t>
      </w:r>
      <w:r>
        <w:rPr>
          <w:rFonts w:eastAsia="Cambria" w:cs="Times New Roman"/>
          <w:bCs/>
          <w:sz w:val="20"/>
          <w:szCs w:val="20"/>
          <w:lang w:val="es-ES"/>
        </w:rPr>
        <w:t xml:space="preserve"> </w:t>
      </w:r>
      <w:r w:rsidR="003D4E40" w:rsidRPr="003D4E40">
        <w:rPr>
          <w:rFonts w:eastAsia="Cambria" w:cs="Times New Roman"/>
          <w:bCs/>
          <w:sz w:val="20"/>
          <w:szCs w:val="20"/>
          <w:lang w:val="es-ES"/>
        </w:rPr>
        <w:t>los términos de lo establecido en el párrafo 347 de la presente Sentencia.</w:t>
      </w:r>
    </w:p>
    <w:p w:rsidR="003D4E40" w:rsidRDefault="003D4E40" w:rsidP="003D4E40">
      <w:pPr>
        <w:jc w:val="both"/>
        <w:rPr>
          <w:rFonts w:eastAsia="Cambria" w:cs="Times New Roman"/>
          <w:bCs/>
          <w:sz w:val="20"/>
          <w:szCs w:val="20"/>
          <w:lang w:val="es-ES"/>
        </w:rPr>
      </w:pPr>
    </w:p>
    <w:p w:rsidR="003D4E40" w:rsidRPr="003D4E40" w:rsidRDefault="00587A39" w:rsidP="003D4E40">
      <w:pPr>
        <w:jc w:val="both"/>
        <w:rPr>
          <w:rFonts w:eastAsia="Cambria" w:cs="Times New Roman"/>
          <w:bCs/>
          <w:sz w:val="20"/>
          <w:szCs w:val="20"/>
          <w:lang w:val="es-ES"/>
        </w:rPr>
      </w:pPr>
      <w:r>
        <w:rPr>
          <w:rFonts w:eastAsia="Cambria" w:cs="Times New Roman"/>
          <w:bCs/>
          <w:sz w:val="20"/>
          <w:szCs w:val="20"/>
          <w:lang w:val="es-ES"/>
        </w:rPr>
        <w:t>4</w:t>
      </w:r>
      <w:r w:rsidR="003D4E40">
        <w:rPr>
          <w:rFonts w:eastAsia="Cambria" w:cs="Times New Roman"/>
          <w:bCs/>
          <w:sz w:val="20"/>
          <w:szCs w:val="20"/>
          <w:lang w:val="es-ES"/>
        </w:rPr>
        <w:t>.</w:t>
      </w:r>
      <w:r w:rsidR="003D4E40">
        <w:rPr>
          <w:rFonts w:eastAsia="Cambria" w:cs="Times New Roman"/>
          <w:bCs/>
          <w:sz w:val="20"/>
          <w:szCs w:val="20"/>
          <w:lang w:val="es-ES"/>
        </w:rPr>
        <w:tab/>
      </w:r>
      <w:r w:rsidR="003D4E40" w:rsidRPr="003D4E40">
        <w:rPr>
          <w:rFonts w:eastAsia="Cambria" w:cs="Times New Roman"/>
          <w:bCs/>
          <w:sz w:val="20"/>
          <w:szCs w:val="20"/>
          <w:lang w:val="es-ES"/>
        </w:rPr>
        <w:t>Continuar y concluir, en un plazo razonable, la investigación por la muerte de Félix</w:t>
      </w:r>
      <w:r>
        <w:rPr>
          <w:rFonts w:eastAsia="Cambria" w:cs="Times New Roman"/>
          <w:bCs/>
          <w:sz w:val="20"/>
          <w:szCs w:val="20"/>
          <w:lang w:val="es-ES"/>
        </w:rPr>
        <w:t xml:space="preserve"> </w:t>
      </w:r>
      <w:r w:rsidR="003D4E40" w:rsidRPr="003D4E40">
        <w:rPr>
          <w:rFonts w:eastAsia="Cambria" w:cs="Times New Roman"/>
          <w:bCs/>
          <w:sz w:val="20"/>
          <w:szCs w:val="20"/>
          <w:lang w:val="es-ES"/>
        </w:rPr>
        <w:t>Ordóñez Suazo y demás denuncias interpuestas en la jurisdicción interna, y en su caso,</w:t>
      </w:r>
      <w:r>
        <w:rPr>
          <w:rFonts w:eastAsia="Cambria" w:cs="Times New Roman"/>
          <w:bCs/>
          <w:sz w:val="20"/>
          <w:szCs w:val="20"/>
          <w:lang w:val="es-ES"/>
        </w:rPr>
        <w:t xml:space="preserve"> </w:t>
      </w:r>
      <w:r w:rsidR="003D4E40" w:rsidRPr="003D4E40">
        <w:rPr>
          <w:rFonts w:eastAsia="Cambria" w:cs="Times New Roman"/>
          <w:bCs/>
          <w:sz w:val="20"/>
          <w:szCs w:val="20"/>
          <w:lang w:val="es-ES"/>
        </w:rPr>
        <w:t>sancionar a los responsables, en los términos de lo establecido en el párrafo 353 de la</w:t>
      </w:r>
      <w:r>
        <w:rPr>
          <w:rFonts w:eastAsia="Cambria" w:cs="Times New Roman"/>
          <w:bCs/>
          <w:sz w:val="20"/>
          <w:szCs w:val="20"/>
          <w:lang w:val="es-ES"/>
        </w:rPr>
        <w:t xml:space="preserve"> </w:t>
      </w:r>
      <w:r w:rsidR="003D4E40" w:rsidRPr="003D4E40">
        <w:rPr>
          <w:rFonts w:eastAsia="Cambria" w:cs="Times New Roman"/>
          <w:bCs/>
          <w:sz w:val="20"/>
          <w:szCs w:val="20"/>
          <w:lang w:val="es-ES"/>
        </w:rPr>
        <w:t>presente Sentencia.</w:t>
      </w:r>
    </w:p>
    <w:p w:rsidR="003D4E40" w:rsidRDefault="003D4E40" w:rsidP="003D4E40">
      <w:pPr>
        <w:jc w:val="both"/>
        <w:rPr>
          <w:rFonts w:eastAsia="Cambria" w:cs="Times New Roman"/>
          <w:bCs/>
          <w:sz w:val="20"/>
          <w:szCs w:val="20"/>
          <w:lang w:val="es-ES"/>
        </w:rPr>
      </w:pPr>
    </w:p>
    <w:p w:rsidR="006663F3" w:rsidRPr="00587A39" w:rsidRDefault="00587A39" w:rsidP="003D4E40">
      <w:pPr>
        <w:jc w:val="both"/>
        <w:rPr>
          <w:rFonts w:eastAsia="Cambria" w:cs="Times New Roman"/>
          <w:bCs/>
          <w:sz w:val="20"/>
          <w:szCs w:val="20"/>
          <w:lang w:val="es-ES"/>
        </w:rPr>
      </w:pPr>
      <w:r>
        <w:rPr>
          <w:rFonts w:eastAsia="Cambria" w:cs="Times New Roman"/>
          <w:bCs/>
          <w:sz w:val="20"/>
          <w:szCs w:val="20"/>
          <w:lang w:val="es-ES"/>
        </w:rPr>
        <w:t>5</w:t>
      </w:r>
      <w:r w:rsidR="003D4E40">
        <w:rPr>
          <w:rFonts w:eastAsia="Cambria" w:cs="Times New Roman"/>
          <w:bCs/>
          <w:sz w:val="20"/>
          <w:szCs w:val="20"/>
          <w:lang w:val="es-ES"/>
        </w:rPr>
        <w:t>.</w:t>
      </w:r>
      <w:r w:rsidR="003D4E40">
        <w:rPr>
          <w:rFonts w:eastAsia="Cambria" w:cs="Times New Roman"/>
          <w:bCs/>
          <w:sz w:val="20"/>
          <w:szCs w:val="20"/>
          <w:lang w:val="es-ES"/>
        </w:rPr>
        <w:tab/>
      </w:r>
      <w:r w:rsidR="003D4E40" w:rsidRPr="003D4E40">
        <w:rPr>
          <w:rFonts w:eastAsia="Cambria" w:cs="Times New Roman"/>
          <w:bCs/>
          <w:sz w:val="20"/>
          <w:szCs w:val="20"/>
          <w:lang w:val="es-ES"/>
        </w:rPr>
        <w:t>Pagar la cantidad fijada en el párrafo 364 de la presente Sentencia por concepto de</w:t>
      </w:r>
      <w:r>
        <w:rPr>
          <w:rFonts w:eastAsia="Cambria" w:cs="Times New Roman"/>
          <w:bCs/>
          <w:sz w:val="20"/>
          <w:szCs w:val="20"/>
          <w:lang w:val="es-ES"/>
        </w:rPr>
        <w:t xml:space="preserve"> </w:t>
      </w:r>
      <w:r w:rsidR="003D4E40" w:rsidRPr="003D4E40">
        <w:rPr>
          <w:rFonts w:eastAsia="Cambria" w:cs="Times New Roman"/>
          <w:bCs/>
          <w:sz w:val="20"/>
          <w:szCs w:val="20"/>
          <w:lang w:val="es-ES"/>
        </w:rPr>
        <w:t>reintegro de costas y gastos en el plazo de un año, contado a partir de la notificación de la</w:t>
      </w:r>
      <w:r>
        <w:rPr>
          <w:rFonts w:eastAsia="Cambria" w:cs="Times New Roman"/>
          <w:bCs/>
          <w:sz w:val="20"/>
          <w:szCs w:val="20"/>
          <w:lang w:val="es-ES"/>
        </w:rPr>
        <w:t xml:space="preserve"> </w:t>
      </w:r>
      <w:r w:rsidR="003D4E40" w:rsidRPr="003D4E40">
        <w:rPr>
          <w:rFonts w:eastAsia="Cambria" w:cs="Times New Roman"/>
          <w:bCs/>
          <w:sz w:val="20"/>
          <w:szCs w:val="20"/>
          <w:lang w:val="es-ES"/>
        </w:rPr>
        <w:t>misma.</w:t>
      </w:r>
    </w:p>
    <w:p w:rsidR="003D4E40" w:rsidRDefault="003D4E40" w:rsidP="006663F3">
      <w:pPr>
        <w:jc w:val="both"/>
        <w:rPr>
          <w:b/>
          <w:sz w:val="20"/>
          <w:szCs w:val="20"/>
          <w:lang w:val="es-ES"/>
        </w:rPr>
      </w:pPr>
    </w:p>
    <w:p w:rsidR="003D4E40" w:rsidRDefault="003D4E40" w:rsidP="006663F3">
      <w:pPr>
        <w:jc w:val="both"/>
        <w:rPr>
          <w:b/>
          <w:sz w:val="20"/>
          <w:szCs w:val="20"/>
          <w:lang w:val="es-ES"/>
        </w:rPr>
      </w:pPr>
    </w:p>
    <w:p w:rsidR="006663F3" w:rsidRDefault="006663F3" w:rsidP="006663F3">
      <w:pPr>
        <w:jc w:val="both"/>
        <w:rPr>
          <w:b/>
          <w:sz w:val="20"/>
          <w:szCs w:val="20"/>
          <w:lang w:val="es-ES"/>
        </w:rPr>
      </w:pPr>
      <w:r>
        <w:rPr>
          <w:b/>
          <w:sz w:val="20"/>
          <w:szCs w:val="20"/>
          <w:lang w:val="es-ES"/>
        </w:rPr>
        <w:t>Cumplimiento parcial:</w:t>
      </w:r>
    </w:p>
    <w:p w:rsidR="006663F3" w:rsidRDefault="006663F3" w:rsidP="006663F3">
      <w:pPr>
        <w:jc w:val="both"/>
        <w:rPr>
          <w:b/>
          <w:sz w:val="20"/>
          <w:szCs w:val="20"/>
          <w:lang w:val="es-ES"/>
        </w:rPr>
      </w:pPr>
    </w:p>
    <w:p w:rsidR="00587A39" w:rsidRPr="003D4E40" w:rsidRDefault="00587A39" w:rsidP="00587A39">
      <w:pPr>
        <w:jc w:val="both"/>
        <w:rPr>
          <w:rFonts w:eastAsia="Cambria" w:cs="Times New Roman"/>
          <w:bCs/>
          <w:sz w:val="20"/>
          <w:szCs w:val="20"/>
          <w:lang w:val="es-ES"/>
        </w:rPr>
      </w:pPr>
      <w:r>
        <w:rPr>
          <w:rFonts w:eastAsia="Cambria" w:cs="Times New Roman"/>
          <w:bCs/>
          <w:sz w:val="20"/>
          <w:szCs w:val="20"/>
          <w:lang w:val="es-ES"/>
        </w:rPr>
        <w:t>6.</w:t>
      </w:r>
      <w:r>
        <w:rPr>
          <w:rFonts w:eastAsia="Cambria" w:cs="Times New Roman"/>
          <w:bCs/>
          <w:sz w:val="20"/>
          <w:szCs w:val="20"/>
          <w:lang w:val="es-ES"/>
        </w:rPr>
        <w:tab/>
      </w:r>
      <w:r w:rsidRPr="003D4E40">
        <w:rPr>
          <w:rFonts w:eastAsia="Cambria" w:cs="Times New Roman"/>
          <w:bCs/>
          <w:sz w:val="20"/>
          <w:szCs w:val="20"/>
          <w:lang w:val="es-ES"/>
        </w:rPr>
        <w:t>Crear un fondo de desarrollo comunitario a favor de los miembros de la Comunidad</w:t>
      </w:r>
      <w:r>
        <w:rPr>
          <w:rFonts w:eastAsia="Cambria" w:cs="Times New Roman"/>
          <w:bCs/>
          <w:sz w:val="20"/>
          <w:szCs w:val="20"/>
          <w:lang w:val="es-ES"/>
        </w:rPr>
        <w:t xml:space="preserve"> </w:t>
      </w:r>
      <w:r w:rsidRPr="003D4E40">
        <w:rPr>
          <w:rFonts w:eastAsia="Cambria" w:cs="Times New Roman"/>
          <w:bCs/>
          <w:sz w:val="20"/>
          <w:szCs w:val="20"/>
          <w:lang w:val="es-ES"/>
        </w:rPr>
        <w:t>Garífuna de Punta Piedra, en los términos y plazos establecidos en los párrafos 332 a 336 de</w:t>
      </w:r>
    </w:p>
    <w:p w:rsidR="00587A39" w:rsidRPr="003D4E40" w:rsidRDefault="00587A39" w:rsidP="00587A39">
      <w:pPr>
        <w:jc w:val="both"/>
        <w:rPr>
          <w:rFonts w:eastAsia="Cambria" w:cs="Times New Roman"/>
          <w:bCs/>
          <w:sz w:val="20"/>
          <w:szCs w:val="20"/>
          <w:lang w:val="es-ES"/>
        </w:rPr>
      </w:pPr>
      <w:r w:rsidRPr="003D4E40">
        <w:rPr>
          <w:rFonts w:eastAsia="Cambria" w:cs="Times New Roman"/>
          <w:bCs/>
          <w:sz w:val="20"/>
          <w:szCs w:val="20"/>
          <w:lang w:val="es-ES"/>
        </w:rPr>
        <w:t>la presente Sentencia.</w:t>
      </w:r>
    </w:p>
    <w:p w:rsidR="003D4E40" w:rsidRPr="003D4E40" w:rsidRDefault="003D4E40" w:rsidP="00587A39">
      <w:pPr>
        <w:jc w:val="both"/>
        <w:rPr>
          <w:rFonts w:eastAsia="Cambria" w:cs="Times New Roman"/>
          <w:bCs/>
          <w:sz w:val="20"/>
          <w:szCs w:val="20"/>
          <w:lang w:val="es-ES"/>
        </w:rPr>
      </w:pPr>
    </w:p>
    <w:p w:rsidR="003D4E40" w:rsidRPr="003D4E40" w:rsidRDefault="003D4E40" w:rsidP="003D4E40">
      <w:pPr>
        <w:jc w:val="both"/>
        <w:rPr>
          <w:rFonts w:eastAsia="Cambria" w:cs="Times New Roman"/>
          <w:bCs/>
          <w:sz w:val="20"/>
          <w:szCs w:val="20"/>
          <w:lang w:val="es-ES"/>
        </w:rPr>
      </w:pPr>
      <w:r w:rsidRPr="003D4E40">
        <w:rPr>
          <w:rFonts w:eastAsia="Cambria" w:cs="Times New Roman"/>
          <w:bCs/>
          <w:sz w:val="20"/>
          <w:szCs w:val="20"/>
          <w:lang w:val="es-ES"/>
        </w:rPr>
        <w:t>E</w:t>
      </w:r>
      <w:r w:rsidR="00587A39">
        <w:rPr>
          <w:rFonts w:eastAsia="Cambria" w:cs="Times New Roman"/>
          <w:bCs/>
          <w:sz w:val="20"/>
          <w:szCs w:val="20"/>
          <w:lang w:val="es-ES"/>
        </w:rPr>
        <w:t>n el Considerando 8</w:t>
      </w:r>
      <w:r w:rsidRPr="003D4E40">
        <w:rPr>
          <w:rFonts w:eastAsia="Cambria" w:cs="Times New Roman"/>
          <w:bCs/>
          <w:sz w:val="20"/>
          <w:szCs w:val="20"/>
          <w:lang w:val="es-ES"/>
        </w:rPr>
        <w:t xml:space="preserve"> de la resolución</w:t>
      </w:r>
      <w:bookmarkStart w:id="0" w:name="_GoBack"/>
      <w:bookmarkEnd w:id="0"/>
      <w:r w:rsidRPr="003D4E40">
        <w:rPr>
          <w:rFonts w:eastAsia="Cambria" w:cs="Times New Roman"/>
          <w:bCs/>
          <w:sz w:val="20"/>
          <w:szCs w:val="20"/>
          <w:lang w:val="es-ES"/>
        </w:rPr>
        <w:t xml:space="preserve"> de la Corte </w:t>
      </w:r>
      <w:r w:rsidR="00587A39">
        <w:rPr>
          <w:rFonts w:eastAsia="Cambria" w:cs="Times New Roman"/>
          <w:bCs/>
          <w:sz w:val="20"/>
          <w:szCs w:val="20"/>
          <w:lang w:val="es-ES"/>
        </w:rPr>
        <w:t>de 30 de abril de 2021</w:t>
      </w:r>
      <w:r w:rsidRPr="003D4E40">
        <w:rPr>
          <w:rFonts w:eastAsia="Cambria" w:cs="Times New Roman"/>
          <w:bCs/>
          <w:sz w:val="20"/>
          <w:szCs w:val="20"/>
          <w:lang w:val="es-ES"/>
        </w:rPr>
        <w:t xml:space="preserve"> se explica lo que</w:t>
      </w:r>
      <w:r w:rsidR="00587A39">
        <w:rPr>
          <w:rFonts w:eastAsia="Cambria" w:cs="Times New Roman"/>
          <w:bCs/>
          <w:sz w:val="20"/>
          <w:szCs w:val="20"/>
          <w:lang w:val="es-ES"/>
        </w:rPr>
        <w:t xml:space="preserve"> </w:t>
      </w:r>
      <w:r w:rsidRPr="003D4E40">
        <w:rPr>
          <w:rFonts w:eastAsia="Cambria" w:cs="Times New Roman"/>
          <w:bCs/>
          <w:sz w:val="20"/>
          <w:szCs w:val="20"/>
          <w:lang w:val="es-ES"/>
        </w:rPr>
        <w:t>continua pendiente de cumplimiento respecto a la presente medida de reparación:</w:t>
      </w:r>
    </w:p>
    <w:p w:rsidR="003D4E40" w:rsidRDefault="003D4E40" w:rsidP="003D4E40">
      <w:pPr>
        <w:jc w:val="both"/>
        <w:rPr>
          <w:rFonts w:eastAsia="Cambria" w:cs="Times New Roman"/>
          <w:bCs/>
          <w:sz w:val="20"/>
          <w:szCs w:val="20"/>
          <w:lang w:val="es-ES"/>
        </w:rPr>
      </w:pPr>
    </w:p>
    <w:p w:rsidR="00587A39" w:rsidRPr="00587A39" w:rsidRDefault="00587A39" w:rsidP="00587A39">
      <w:pPr>
        <w:ind w:left="567" w:right="567"/>
        <w:jc w:val="both"/>
        <w:rPr>
          <w:rFonts w:eastAsia="Cambria" w:cs="Times New Roman"/>
          <w:bCs/>
          <w:sz w:val="18"/>
          <w:szCs w:val="20"/>
          <w:lang w:val="es-ES"/>
        </w:rPr>
      </w:pPr>
      <w:r>
        <w:rPr>
          <w:rFonts w:eastAsia="Cambria" w:cs="Times New Roman"/>
          <w:bCs/>
          <w:sz w:val="18"/>
          <w:szCs w:val="20"/>
          <w:lang w:val="es-ES"/>
        </w:rPr>
        <w:t>8</w:t>
      </w:r>
      <w:r w:rsidR="003D4E40" w:rsidRPr="003D4E40">
        <w:rPr>
          <w:rFonts w:eastAsia="Cambria" w:cs="Times New Roman"/>
          <w:bCs/>
          <w:sz w:val="18"/>
          <w:szCs w:val="20"/>
          <w:lang w:val="es-ES"/>
        </w:rPr>
        <w:t xml:space="preserve">. </w:t>
      </w:r>
      <w:r w:rsidRPr="00587A39">
        <w:rPr>
          <w:rFonts w:eastAsia="Cambria" w:cs="Times New Roman"/>
          <w:bCs/>
          <w:sz w:val="18"/>
          <w:szCs w:val="20"/>
          <w:lang w:val="es-ES"/>
        </w:rPr>
        <w:t>Con bas</w:t>
      </w:r>
      <w:r>
        <w:rPr>
          <w:rFonts w:eastAsia="Cambria" w:cs="Times New Roman"/>
          <w:bCs/>
          <w:sz w:val="18"/>
          <w:szCs w:val="20"/>
          <w:lang w:val="es-ES"/>
        </w:rPr>
        <w:t>e en los comprobantes aportados</w:t>
      </w:r>
      <w:r w:rsidRPr="00587A39">
        <w:rPr>
          <w:rFonts w:eastAsia="Cambria" w:cs="Times New Roman"/>
          <w:bCs/>
          <w:sz w:val="18"/>
          <w:szCs w:val="20"/>
          <w:lang w:val="es-ES"/>
        </w:rPr>
        <w:t>, y teniendo en cuenta que los</w:t>
      </w:r>
      <w:r>
        <w:rPr>
          <w:rFonts w:eastAsia="Cambria" w:cs="Times New Roman"/>
          <w:bCs/>
          <w:sz w:val="18"/>
          <w:szCs w:val="20"/>
          <w:lang w:val="es-ES"/>
        </w:rPr>
        <w:t xml:space="preserve"> </w:t>
      </w:r>
      <w:r w:rsidRPr="00587A39">
        <w:rPr>
          <w:rFonts w:eastAsia="Cambria" w:cs="Times New Roman"/>
          <w:bCs/>
          <w:sz w:val="18"/>
          <w:szCs w:val="20"/>
          <w:lang w:val="es-ES"/>
        </w:rPr>
        <w:t>representantes no controvirti</w:t>
      </w:r>
      <w:r w:rsidR="009F64A6">
        <w:rPr>
          <w:rFonts w:eastAsia="Cambria" w:cs="Times New Roman"/>
          <w:bCs/>
          <w:sz w:val="18"/>
          <w:szCs w:val="20"/>
          <w:lang w:val="es-ES"/>
        </w:rPr>
        <w:t>eron lo informado por el Estado</w:t>
      </w:r>
      <w:r w:rsidRPr="00587A39">
        <w:rPr>
          <w:rFonts w:eastAsia="Cambria" w:cs="Times New Roman"/>
          <w:bCs/>
          <w:sz w:val="18"/>
          <w:szCs w:val="20"/>
          <w:lang w:val="es-ES"/>
        </w:rPr>
        <w:t>, este Tribunal constata que</w:t>
      </w:r>
      <w:r>
        <w:rPr>
          <w:rFonts w:eastAsia="Cambria" w:cs="Times New Roman"/>
          <w:bCs/>
          <w:sz w:val="18"/>
          <w:szCs w:val="20"/>
          <w:lang w:val="es-ES"/>
        </w:rPr>
        <w:t xml:space="preserve"> </w:t>
      </w:r>
      <w:r w:rsidRPr="00587A39">
        <w:rPr>
          <w:rFonts w:eastAsia="Cambria" w:cs="Times New Roman"/>
          <w:bCs/>
          <w:sz w:val="18"/>
          <w:szCs w:val="20"/>
          <w:lang w:val="es-ES"/>
        </w:rPr>
        <w:t>Honduras ha cumplido parcialmente con la creación de fondos de desarrollo comunitario a</w:t>
      </w:r>
      <w:r>
        <w:rPr>
          <w:rFonts w:eastAsia="Cambria" w:cs="Times New Roman"/>
          <w:bCs/>
          <w:sz w:val="18"/>
          <w:szCs w:val="20"/>
          <w:lang w:val="es-ES"/>
        </w:rPr>
        <w:t xml:space="preserve"> </w:t>
      </w:r>
      <w:r w:rsidRPr="00587A39">
        <w:rPr>
          <w:rFonts w:eastAsia="Cambria" w:cs="Times New Roman"/>
          <w:bCs/>
          <w:sz w:val="18"/>
          <w:szCs w:val="20"/>
          <w:lang w:val="es-ES"/>
        </w:rPr>
        <w:t>favor de los miembros de las Comunidades, en tanto procedió a la apertura de cuentas a favor</w:t>
      </w:r>
      <w:r>
        <w:rPr>
          <w:rFonts w:eastAsia="Cambria" w:cs="Times New Roman"/>
          <w:bCs/>
          <w:sz w:val="18"/>
          <w:szCs w:val="20"/>
          <w:lang w:val="es-ES"/>
        </w:rPr>
        <w:t xml:space="preserve"> </w:t>
      </w:r>
      <w:r w:rsidRPr="00587A39">
        <w:rPr>
          <w:rFonts w:eastAsia="Cambria" w:cs="Times New Roman"/>
          <w:bCs/>
          <w:sz w:val="18"/>
          <w:szCs w:val="20"/>
          <w:lang w:val="es-ES"/>
        </w:rPr>
        <w:t>de cada una de las Comunidades por un monto de US$ 816,200.64 para cada una, lo cual</w:t>
      </w:r>
      <w:r>
        <w:rPr>
          <w:rFonts w:eastAsia="Cambria" w:cs="Times New Roman"/>
          <w:bCs/>
          <w:sz w:val="18"/>
          <w:szCs w:val="20"/>
          <w:lang w:val="es-ES"/>
        </w:rPr>
        <w:t xml:space="preserve"> </w:t>
      </w:r>
      <w:r w:rsidRPr="00587A39">
        <w:rPr>
          <w:rFonts w:eastAsia="Cambria" w:cs="Times New Roman"/>
          <w:bCs/>
          <w:sz w:val="18"/>
          <w:szCs w:val="20"/>
          <w:lang w:val="es-ES"/>
        </w:rPr>
        <w:t>constituye un poco más de la mitad del monto ordenado en cada Sentencia, quedando</w:t>
      </w:r>
      <w:r>
        <w:rPr>
          <w:rFonts w:eastAsia="Cambria" w:cs="Times New Roman"/>
          <w:bCs/>
          <w:sz w:val="18"/>
          <w:szCs w:val="20"/>
          <w:lang w:val="es-ES"/>
        </w:rPr>
        <w:t xml:space="preserve"> pendiente</w:t>
      </w:r>
      <w:r w:rsidRPr="00587A39">
        <w:rPr>
          <w:rFonts w:eastAsia="Cambria" w:cs="Times New Roman"/>
          <w:bCs/>
          <w:sz w:val="18"/>
          <w:szCs w:val="20"/>
          <w:lang w:val="es-ES"/>
        </w:rPr>
        <w:t>: (i) depositar los montos restantes de acuerdo a las cantidades totales ordenadas</w:t>
      </w:r>
      <w:r>
        <w:rPr>
          <w:rFonts w:eastAsia="Cambria" w:cs="Times New Roman"/>
          <w:bCs/>
          <w:sz w:val="18"/>
          <w:szCs w:val="20"/>
          <w:lang w:val="es-ES"/>
        </w:rPr>
        <w:t xml:space="preserve"> </w:t>
      </w:r>
      <w:r w:rsidRPr="00587A39">
        <w:rPr>
          <w:rFonts w:eastAsia="Cambria" w:cs="Times New Roman"/>
          <w:bCs/>
          <w:sz w:val="18"/>
          <w:szCs w:val="20"/>
          <w:lang w:val="es-ES"/>
        </w:rPr>
        <w:t>en las Sentencias; (ii) que el Estado nombre una autoridad con competencia en la materia, a</w:t>
      </w:r>
      <w:r>
        <w:rPr>
          <w:rFonts w:eastAsia="Cambria" w:cs="Times New Roman"/>
          <w:bCs/>
          <w:sz w:val="18"/>
          <w:szCs w:val="20"/>
          <w:lang w:val="es-ES"/>
        </w:rPr>
        <w:t xml:space="preserve"> </w:t>
      </w:r>
      <w:r w:rsidRPr="00587A39">
        <w:rPr>
          <w:rFonts w:eastAsia="Cambria" w:cs="Times New Roman"/>
          <w:bCs/>
          <w:sz w:val="18"/>
          <w:szCs w:val="20"/>
          <w:lang w:val="es-ES"/>
        </w:rPr>
        <w:t>cargo de la administración de los fondos, y (iii) que las Comunidades elijan una representación</w:t>
      </w:r>
      <w:r>
        <w:rPr>
          <w:rFonts w:eastAsia="Cambria" w:cs="Times New Roman"/>
          <w:bCs/>
          <w:sz w:val="18"/>
          <w:szCs w:val="20"/>
          <w:lang w:val="es-ES"/>
        </w:rPr>
        <w:t xml:space="preserve"> </w:t>
      </w:r>
      <w:r w:rsidRPr="00587A39">
        <w:rPr>
          <w:rFonts w:eastAsia="Cambria" w:cs="Times New Roman"/>
          <w:bCs/>
          <w:sz w:val="18"/>
          <w:szCs w:val="20"/>
          <w:lang w:val="es-ES"/>
        </w:rPr>
        <w:t>para la interlocución con el Estado, a fin de que la implementación de los fondos se realice</w:t>
      </w:r>
    </w:p>
    <w:p w:rsidR="006663F3" w:rsidRPr="003D4E40" w:rsidRDefault="00587A39" w:rsidP="00587A39">
      <w:pPr>
        <w:ind w:left="567" w:right="567"/>
        <w:jc w:val="both"/>
        <w:rPr>
          <w:rFonts w:eastAsia="Cambria" w:cs="Times New Roman"/>
          <w:bCs/>
          <w:sz w:val="18"/>
          <w:szCs w:val="20"/>
          <w:lang w:val="es-ES"/>
        </w:rPr>
      </w:pPr>
      <w:r w:rsidRPr="00587A39">
        <w:rPr>
          <w:rFonts w:eastAsia="Cambria" w:cs="Times New Roman"/>
          <w:bCs/>
          <w:sz w:val="18"/>
          <w:szCs w:val="20"/>
          <w:lang w:val="es-ES"/>
        </w:rPr>
        <w:t>conforme lo disponga cada Comunidad.</w:t>
      </w:r>
    </w:p>
    <w:p w:rsidR="00D3440D" w:rsidRPr="00C4747D" w:rsidRDefault="00D3440D" w:rsidP="00D3440D">
      <w:pPr>
        <w:jc w:val="both"/>
        <w:rPr>
          <w:sz w:val="20"/>
          <w:szCs w:val="20"/>
        </w:rPr>
      </w:pPr>
    </w:p>
    <w:sectPr w:rsidR="00D3440D" w:rsidRPr="00C4747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BDA" w:rsidRDefault="00DF4BDA" w:rsidP="009F7EF4">
      <w:r>
        <w:separator/>
      </w:r>
    </w:p>
  </w:endnote>
  <w:endnote w:type="continuationSeparator" w:id="0">
    <w:p w:rsidR="00DF4BDA" w:rsidRDefault="00DF4BDA"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BDA" w:rsidRDefault="00DF4BDA" w:rsidP="009F7EF4">
      <w:r>
        <w:separator/>
      </w:r>
    </w:p>
  </w:footnote>
  <w:footnote w:type="continuationSeparator" w:id="0">
    <w:p w:rsidR="00DF4BDA" w:rsidRDefault="00DF4BDA"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897709"/>
      <w:docPartObj>
        <w:docPartGallery w:val="Page Numbers (Top of Page)"/>
        <w:docPartUnique/>
      </w:docPartObj>
    </w:sdtPr>
    <w:sdtEndPr>
      <w:rPr>
        <w:noProof/>
        <w:sz w:val="20"/>
        <w:szCs w:val="20"/>
      </w:rPr>
    </w:sdtEndPr>
    <w:sdtContent>
      <w:p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9F64A6">
          <w:rPr>
            <w:noProof/>
            <w:sz w:val="20"/>
            <w:szCs w:val="20"/>
          </w:rPr>
          <w:t>1</w:t>
        </w:r>
        <w:r w:rsidRPr="00675FE7">
          <w:rPr>
            <w:noProof/>
            <w:sz w:val="20"/>
            <w:szCs w:val="20"/>
          </w:rPr>
          <w:fldChar w:fldCharType="end"/>
        </w:r>
      </w:p>
    </w:sdtContent>
  </w:sdt>
  <w:p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EF4"/>
    <w:rsid w:val="000930F6"/>
    <w:rsid w:val="00101CC6"/>
    <w:rsid w:val="001426AA"/>
    <w:rsid w:val="00296F77"/>
    <w:rsid w:val="002B3295"/>
    <w:rsid w:val="002D41F7"/>
    <w:rsid w:val="003A7E5E"/>
    <w:rsid w:val="003C561A"/>
    <w:rsid w:val="003D4E40"/>
    <w:rsid w:val="00474D04"/>
    <w:rsid w:val="00476F6E"/>
    <w:rsid w:val="00587A39"/>
    <w:rsid w:val="005C68A4"/>
    <w:rsid w:val="005D1A85"/>
    <w:rsid w:val="00617B3E"/>
    <w:rsid w:val="006663F3"/>
    <w:rsid w:val="006C38A6"/>
    <w:rsid w:val="006F2690"/>
    <w:rsid w:val="00774B82"/>
    <w:rsid w:val="00926FFB"/>
    <w:rsid w:val="009832C0"/>
    <w:rsid w:val="009D22BE"/>
    <w:rsid w:val="009F64A6"/>
    <w:rsid w:val="009F7EF4"/>
    <w:rsid w:val="00A07758"/>
    <w:rsid w:val="00AE0035"/>
    <w:rsid w:val="00B11B9B"/>
    <w:rsid w:val="00B32A37"/>
    <w:rsid w:val="00BA6BA9"/>
    <w:rsid w:val="00BC5824"/>
    <w:rsid w:val="00C4747D"/>
    <w:rsid w:val="00C77C0C"/>
    <w:rsid w:val="00C807CF"/>
    <w:rsid w:val="00D3440D"/>
    <w:rsid w:val="00DF4BDA"/>
    <w:rsid w:val="00E42392"/>
    <w:rsid w:val="00E85D9E"/>
    <w:rsid w:val="00F50093"/>
    <w:rsid w:val="00F95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90306"/>
  <w15:docId w15:val="{035E7DBC-47E4-364E-BEE0-ADFDE69E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403</Words>
  <Characters>2222</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"Corte IDH" &lt;corteidh@corteidh.or.cr&gt;</dc:creator>
  <cp:lastModifiedBy>Romina Troconis</cp:lastModifiedBy>
  <cp:revision>7</cp:revision>
  <cp:lastPrinted>2018-06-18T15:21:00Z</cp:lastPrinted>
  <dcterms:created xsi:type="dcterms:W3CDTF">2021-06-25T16:30:00Z</dcterms:created>
  <dcterms:modified xsi:type="dcterms:W3CDTF">2021-06-30T17:47:00Z</dcterms:modified>
</cp:coreProperties>
</file>