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40" w:rsidRPr="003D4E40" w:rsidRDefault="006D653B" w:rsidP="003D4E40">
      <w:pPr>
        <w:jc w:val="center"/>
        <w:rPr>
          <w:b/>
          <w:i/>
          <w:sz w:val="20"/>
          <w:szCs w:val="20"/>
          <w:u w:val="single"/>
          <w:lang w:val="es-CR"/>
        </w:rPr>
      </w:pPr>
      <w:r>
        <w:rPr>
          <w:b/>
          <w:i/>
          <w:sz w:val="20"/>
          <w:szCs w:val="20"/>
          <w:u w:val="single"/>
          <w:lang w:val="es-CR"/>
        </w:rPr>
        <w:t xml:space="preserve">Caso Comunidad Garífuna </w:t>
      </w:r>
      <w:r w:rsidRPr="006D653B">
        <w:rPr>
          <w:b/>
          <w:i/>
          <w:sz w:val="20"/>
          <w:szCs w:val="20"/>
          <w:u w:val="single"/>
          <w:lang w:val="es-CR"/>
        </w:rPr>
        <w:t xml:space="preserve">Triunfo de la Cruz </w:t>
      </w:r>
      <w:r>
        <w:rPr>
          <w:b/>
          <w:i/>
          <w:sz w:val="20"/>
          <w:szCs w:val="20"/>
          <w:u w:val="single"/>
          <w:lang w:val="es-CR"/>
        </w:rPr>
        <w:t xml:space="preserve">y </w:t>
      </w:r>
      <w:r w:rsidR="003D4E40" w:rsidRPr="003D4E40">
        <w:rPr>
          <w:b/>
          <w:i/>
          <w:sz w:val="20"/>
          <w:szCs w:val="20"/>
          <w:u w:val="single"/>
          <w:lang w:val="es-CR"/>
        </w:rPr>
        <w:t>sus miembros Vs. Honduras:</w:t>
      </w:r>
    </w:p>
    <w:p w:rsidR="006E7F48" w:rsidRPr="003D4E40" w:rsidRDefault="003D4E40" w:rsidP="003D4E40">
      <w:pPr>
        <w:jc w:val="center"/>
      </w:pPr>
      <w:r w:rsidRPr="003D4E40">
        <w:rPr>
          <w:b/>
          <w:sz w:val="20"/>
          <w:szCs w:val="20"/>
          <w:u w:val="single"/>
          <w:lang w:val="es-CR"/>
        </w:rPr>
        <w:t>reparaciones pendientes de cumplimiento</w:t>
      </w:r>
    </w:p>
    <w:p w:rsidR="00C4747D" w:rsidRPr="00C77C0C" w:rsidRDefault="00C4747D" w:rsidP="00C77C0C">
      <w:pPr>
        <w:rPr>
          <w:sz w:val="20"/>
          <w:szCs w:val="20"/>
        </w:rPr>
      </w:pPr>
    </w:p>
    <w:p w:rsidR="003D4E40" w:rsidRDefault="003D4E40" w:rsidP="003D4E40">
      <w:pPr>
        <w:jc w:val="both"/>
        <w:rPr>
          <w:rFonts w:eastAsia="Cambria" w:cs="Times New Roman"/>
          <w:bCs/>
          <w:sz w:val="20"/>
          <w:szCs w:val="20"/>
          <w:lang w:val="es-ES"/>
        </w:rPr>
      </w:pP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1. Proceder a demarcar las tierras sobre las cuales ha sido</w:t>
      </w:r>
      <w:r>
        <w:rPr>
          <w:rFonts w:eastAsia="Cambria" w:cs="Times New Roman"/>
          <w:bCs/>
          <w:sz w:val="20"/>
          <w:szCs w:val="20"/>
          <w:lang w:val="es-ES"/>
        </w:rPr>
        <w:t xml:space="preserve"> otorgada la propiedad colectiva </w:t>
      </w:r>
      <w:r w:rsidRPr="00AC3572">
        <w:rPr>
          <w:rFonts w:eastAsia="Cambria" w:cs="Times New Roman"/>
          <w:bCs/>
          <w:sz w:val="20"/>
          <w:szCs w:val="20"/>
          <w:lang w:val="es-ES"/>
        </w:rPr>
        <w:t>a la Comunidad Triunfo de la Cruz en dominio pleno y en garantía de ocupación, con su plena</w:t>
      </w:r>
      <w:r>
        <w:rPr>
          <w:rFonts w:eastAsia="Cambria" w:cs="Times New Roman"/>
          <w:bCs/>
          <w:sz w:val="20"/>
          <w:szCs w:val="20"/>
          <w:lang w:val="es-ES"/>
        </w:rPr>
        <w:t xml:space="preserve"> </w:t>
      </w:r>
      <w:r w:rsidRPr="00AC3572">
        <w:rPr>
          <w:rFonts w:eastAsia="Cambria" w:cs="Times New Roman"/>
          <w:bCs/>
          <w:sz w:val="20"/>
          <w:szCs w:val="20"/>
          <w:lang w:val="es-ES"/>
        </w:rPr>
        <w:t>participación, y tomando en consideración el derecho consuetudinario, usos y costumbres, de</w:t>
      </w: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la Comunidad, de conformidad con lo señalado en el párrafo 259 de la presente Sentencia,</w:t>
      </w:r>
      <w:r>
        <w:rPr>
          <w:rFonts w:eastAsia="Cambria" w:cs="Times New Roman"/>
          <w:bCs/>
          <w:sz w:val="20"/>
          <w:szCs w:val="20"/>
          <w:lang w:val="es-ES"/>
        </w:rPr>
        <w:t xml:space="preserve"> </w:t>
      </w:r>
      <w:r w:rsidRPr="00AC3572">
        <w:rPr>
          <w:rFonts w:eastAsia="Cambria" w:cs="Times New Roman"/>
          <w:bCs/>
          <w:sz w:val="20"/>
          <w:szCs w:val="20"/>
          <w:lang w:val="es-ES"/>
        </w:rPr>
        <w:t>dentro del plazo de dos años contados desde la notificación de la misma.</w:t>
      </w:r>
    </w:p>
    <w:p w:rsidR="00AC3572" w:rsidRDefault="00AC3572" w:rsidP="00AC3572">
      <w:pPr>
        <w:jc w:val="both"/>
        <w:rPr>
          <w:rFonts w:eastAsia="Cambria" w:cs="Times New Roman"/>
          <w:bCs/>
          <w:sz w:val="20"/>
          <w:szCs w:val="20"/>
          <w:lang w:val="es-ES"/>
        </w:rPr>
      </w:pP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2. Otorgar a la Comunidad Triunfo de la Cruz un título de propiedad colectiva debidamente</w:t>
      </w:r>
      <w:r>
        <w:rPr>
          <w:rFonts w:eastAsia="Cambria" w:cs="Times New Roman"/>
          <w:bCs/>
          <w:sz w:val="20"/>
          <w:szCs w:val="20"/>
          <w:lang w:val="es-ES"/>
        </w:rPr>
        <w:t xml:space="preserve"> </w:t>
      </w:r>
      <w:r w:rsidRPr="00AC3572">
        <w:rPr>
          <w:rFonts w:eastAsia="Cambria" w:cs="Times New Roman"/>
          <w:bCs/>
          <w:sz w:val="20"/>
          <w:szCs w:val="20"/>
          <w:lang w:val="es-ES"/>
        </w:rPr>
        <w:t>delimitado y demarcado sobre el área denominada “Lote A1” (infra Mapa Anexo), de</w:t>
      </w:r>
      <w:r>
        <w:rPr>
          <w:rFonts w:eastAsia="Cambria" w:cs="Times New Roman"/>
          <w:bCs/>
          <w:sz w:val="20"/>
          <w:szCs w:val="20"/>
          <w:lang w:val="es-ES"/>
        </w:rPr>
        <w:t xml:space="preserve"> </w:t>
      </w:r>
      <w:r w:rsidRPr="00AC3572">
        <w:rPr>
          <w:rFonts w:eastAsia="Cambria" w:cs="Times New Roman"/>
          <w:bCs/>
          <w:sz w:val="20"/>
          <w:szCs w:val="20"/>
          <w:lang w:val="es-ES"/>
        </w:rPr>
        <w:t>conformidad con los párrafos 260 a 264 de la presente Sentencia, dentro del plazo de dos</w:t>
      </w:r>
      <w:r>
        <w:rPr>
          <w:rFonts w:eastAsia="Cambria" w:cs="Times New Roman"/>
          <w:bCs/>
          <w:sz w:val="20"/>
          <w:szCs w:val="20"/>
          <w:lang w:val="es-ES"/>
        </w:rPr>
        <w:t xml:space="preserve"> </w:t>
      </w:r>
      <w:r w:rsidRPr="00AC3572">
        <w:rPr>
          <w:rFonts w:eastAsia="Cambria" w:cs="Times New Roman"/>
          <w:bCs/>
          <w:sz w:val="20"/>
          <w:szCs w:val="20"/>
          <w:lang w:val="es-ES"/>
        </w:rPr>
        <w:t>años contados desde la notificación de la misma.</w:t>
      </w:r>
    </w:p>
    <w:p w:rsidR="00AC3572" w:rsidRDefault="00AC3572" w:rsidP="00AC3572">
      <w:pPr>
        <w:jc w:val="both"/>
        <w:rPr>
          <w:rFonts w:eastAsia="Cambria" w:cs="Times New Roman"/>
          <w:bCs/>
          <w:sz w:val="20"/>
          <w:szCs w:val="20"/>
          <w:lang w:val="es-ES"/>
        </w:rPr>
      </w:pP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3. Iniciar, en un plazo razonable, las investigaciones relacionadas con la muerte del señor</w:t>
      </w:r>
      <w:r>
        <w:rPr>
          <w:rFonts w:eastAsia="Cambria" w:cs="Times New Roman"/>
          <w:bCs/>
          <w:sz w:val="20"/>
          <w:szCs w:val="20"/>
          <w:lang w:val="es-ES"/>
        </w:rPr>
        <w:t xml:space="preserve"> </w:t>
      </w:r>
      <w:r w:rsidRPr="00AC3572">
        <w:rPr>
          <w:rFonts w:eastAsia="Cambria" w:cs="Times New Roman"/>
          <w:bCs/>
          <w:sz w:val="20"/>
          <w:szCs w:val="20"/>
          <w:lang w:val="es-ES"/>
        </w:rPr>
        <w:t>Jesús Álvarez y de los señores Óscar Brega, Jorge Castillo Jiménez y Julio Alberto Morales,</w:t>
      </w:r>
      <w:r>
        <w:rPr>
          <w:rFonts w:eastAsia="Cambria" w:cs="Times New Roman"/>
          <w:bCs/>
          <w:sz w:val="20"/>
          <w:szCs w:val="20"/>
          <w:lang w:val="es-ES"/>
        </w:rPr>
        <w:t xml:space="preserve"> </w:t>
      </w:r>
      <w:r w:rsidRPr="00AC3572">
        <w:rPr>
          <w:rFonts w:eastAsia="Cambria" w:cs="Times New Roman"/>
          <w:bCs/>
          <w:sz w:val="20"/>
          <w:szCs w:val="20"/>
          <w:lang w:val="es-ES"/>
        </w:rPr>
        <w:t>con la finalidad de determinar las eventuales responsabilidades penales y, en su caso, aplicar</w:t>
      </w: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efectivamente las sanciones y consecuencias que la ley prevea, de conformidad con lo</w:t>
      </w:r>
      <w:r>
        <w:rPr>
          <w:rFonts w:eastAsia="Cambria" w:cs="Times New Roman"/>
          <w:bCs/>
          <w:sz w:val="20"/>
          <w:szCs w:val="20"/>
          <w:lang w:val="es-ES"/>
        </w:rPr>
        <w:t xml:space="preserve"> </w:t>
      </w:r>
      <w:r w:rsidRPr="00AC3572">
        <w:rPr>
          <w:rFonts w:eastAsia="Cambria" w:cs="Times New Roman"/>
          <w:bCs/>
          <w:sz w:val="20"/>
          <w:szCs w:val="20"/>
          <w:lang w:val="es-ES"/>
        </w:rPr>
        <w:t>señalado en los párrafos 266 y 267 de la presente Sentencia.</w:t>
      </w:r>
    </w:p>
    <w:p w:rsidR="00AC3572" w:rsidRDefault="00AC3572" w:rsidP="00AC3572">
      <w:pPr>
        <w:jc w:val="both"/>
        <w:rPr>
          <w:rFonts w:eastAsia="Cambria" w:cs="Times New Roman"/>
          <w:bCs/>
          <w:sz w:val="20"/>
          <w:szCs w:val="20"/>
          <w:lang w:val="es-ES"/>
        </w:rPr>
      </w:pP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4. Realizar un acto público de reconocimiento de responsabilidad internacional, de</w:t>
      </w:r>
      <w:r>
        <w:rPr>
          <w:rFonts w:eastAsia="Cambria" w:cs="Times New Roman"/>
          <w:bCs/>
          <w:sz w:val="20"/>
          <w:szCs w:val="20"/>
          <w:lang w:val="es-ES"/>
        </w:rPr>
        <w:t xml:space="preserve"> </w:t>
      </w:r>
      <w:r w:rsidRPr="00AC3572">
        <w:rPr>
          <w:rFonts w:eastAsia="Cambria" w:cs="Times New Roman"/>
          <w:bCs/>
          <w:sz w:val="20"/>
          <w:szCs w:val="20"/>
          <w:lang w:val="es-ES"/>
        </w:rPr>
        <w:t>conformidad con lo señalado en el párrafo 274 de la presente Sentencia, dentro del plazo de</w:t>
      </w: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un año contado desde la notificación de la misma.</w:t>
      </w:r>
    </w:p>
    <w:p w:rsidR="00AC3572" w:rsidRDefault="00AC3572" w:rsidP="00AC3572">
      <w:pPr>
        <w:jc w:val="both"/>
        <w:rPr>
          <w:rFonts w:eastAsia="Cambria" w:cs="Times New Roman"/>
          <w:bCs/>
          <w:sz w:val="20"/>
          <w:szCs w:val="20"/>
          <w:lang w:val="es-ES"/>
        </w:rPr>
      </w:pP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5. Garantizar el libre acceso, uso y goce de la propiedad colectiva por parte de la</w:t>
      </w:r>
      <w:r>
        <w:rPr>
          <w:rFonts w:eastAsia="Cambria" w:cs="Times New Roman"/>
          <w:bCs/>
          <w:sz w:val="20"/>
          <w:szCs w:val="20"/>
          <w:lang w:val="es-ES"/>
        </w:rPr>
        <w:t xml:space="preserve"> </w:t>
      </w:r>
      <w:r w:rsidRPr="00AC3572">
        <w:rPr>
          <w:rFonts w:eastAsia="Cambria" w:cs="Times New Roman"/>
          <w:bCs/>
          <w:sz w:val="20"/>
          <w:szCs w:val="20"/>
          <w:lang w:val="es-ES"/>
        </w:rPr>
        <w:t>Comunidad Triunfo de la Cruz en la parte de su territorio que se sobrepone con un área del</w:t>
      </w:r>
      <w:r>
        <w:rPr>
          <w:rFonts w:eastAsia="Cambria" w:cs="Times New Roman"/>
          <w:bCs/>
          <w:sz w:val="20"/>
          <w:szCs w:val="20"/>
          <w:lang w:val="es-ES"/>
        </w:rPr>
        <w:t xml:space="preserve"> </w:t>
      </w:r>
      <w:r w:rsidRPr="00AC3572">
        <w:rPr>
          <w:rFonts w:eastAsia="Cambria" w:cs="Times New Roman"/>
          <w:bCs/>
          <w:sz w:val="20"/>
          <w:szCs w:val="20"/>
          <w:lang w:val="es-ES"/>
        </w:rPr>
        <w:t xml:space="preserve">Parque Nacional Punta </w:t>
      </w:r>
      <w:proofErr w:type="spellStart"/>
      <w:r w:rsidRPr="00AC3572">
        <w:rPr>
          <w:rFonts w:eastAsia="Cambria" w:cs="Times New Roman"/>
          <w:bCs/>
          <w:sz w:val="20"/>
          <w:szCs w:val="20"/>
          <w:lang w:val="es-ES"/>
        </w:rPr>
        <w:t>Izopo</w:t>
      </w:r>
      <w:proofErr w:type="spellEnd"/>
      <w:r w:rsidRPr="00AC3572">
        <w:rPr>
          <w:rFonts w:eastAsia="Cambria" w:cs="Times New Roman"/>
          <w:bCs/>
          <w:sz w:val="20"/>
          <w:szCs w:val="20"/>
          <w:lang w:val="es-ES"/>
        </w:rPr>
        <w:t>, de conformidad con lo señalado en el párrafo 280 de la presente</w:t>
      </w: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Sentencia.</w:t>
      </w:r>
    </w:p>
    <w:p w:rsidR="00AC3572" w:rsidRDefault="00AC3572" w:rsidP="00AC3572">
      <w:pPr>
        <w:jc w:val="both"/>
        <w:rPr>
          <w:rFonts w:eastAsia="Cambria" w:cs="Times New Roman"/>
          <w:bCs/>
          <w:sz w:val="20"/>
          <w:szCs w:val="20"/>
          <w:lang w:val="es-ES"/>
        </w:rPr>
      </w:pPr>
    </w:p>
    <w:p w:rsidR="00AC3572" w:rsidRPr="00AC3572" w:rsidRDefault="00AC3572" w:rsidP="00AC3572">
      <w:pPr>
        <w:jc w:val="both"/>
        <w:rPr>
          <w:rFonts w:eastAsia="Cambria" w:cs="Times New Roman"/>
          <w:bCs/>
          <w:sz w:val="20"/>
          <w:szCs w:val="20"/>
          <w:lang w:val="es-ES"/>
        </w:rPr>
      </w:pPr>
      <w:r w:rsidRPr="00AC3572">
        <w:rPr>
          <w:rFonts w:eastAsia="Cambria" w:cs="Times New Roman"/>
          <w:bCs/>
          <w:sz w:val="20"/>
          <w:szCs w:val="20"/>
          <w:lang w:val="es-ES"/>
        </w:rPr>
        <w:t>6. Crear en un plazo razonable mecanismos adecuados para regular su sistema de Registro</w:t>
      </w:r>
      <w:r>
        <w:rPr>
          <w:rFonts w:eastAsia="Cambria" w:cs="Times New Roman"/>
          <w:bCs/>
          <w:sz w:val="20"/>
          <w:szCs w:val="20"/>
          <w:lang w:val="es-ES"/>
        </w:rPr>
        <w:t xml:space="preserve"> </w:t>
      </w:r>
      <w:r w:rsidRPr="00AC3572">
        <w:rPr>
          <w:rFonts w:eastAsia="Cambria" w:cs="Times New Roman"/>
          <w:bCs/>
          <w:sz w:val="20"/>
          <w:szCs w:val="20"/>
          <w:lang w:val="es-ES"/>
        </w:rPr>
        <w:t>de Propiedad, en los términos de lo establecido en el párrafo 282 de la presente Sentencia.</w:t>
      </w:r>
    </w:p>
    <w:p w:rsidR="00AC3572" w:rsidRDefault="00AC3572" w:rsidP="00AC3572">
      <w:pPr>
        <w:jc w:val="both"/>
        <w:rPr>
          <w:rFonts w:eastAsia="Cambria" w:cs="Times New Roman"/>
          <w:bCs/>
          <w:sz w:val="20"/>
          <w:szCs w:val="20"/>
          <w:lang w:val="es-ES"/>
        </w:rPr>
      </w:pPr>
    </w:p>
    <w:p w:rsidR="003D4E40" w:rsidRDefault="00AC3572" w:rsidP="00AC3572">
      <w:pPr>
        <w:jc w:val="both"/>
        <w:rPr>
          <w:b/>
          <w:sz w:val="20"/>
          <w:szCs w:val="20"/>
          <w:lang w:val="es-ES"/>
        </w:rPr>
      </w:pPr>
      <w:r>
        <w:rPr>
          <w:rFonts w:eastAsia="Cambria" w:cs="Times New Roman"/>
          <w:bCs/>
          <w:sz w:val="20"/>
          <w:szCs w:val="20"/>
          <w:lang w:val="es-ES"/>
        </w:rPr>
        <w:t>7</w:t>
      </w:r>
      <w:r w:rsidRPr="00AC3572">
        <w:rPr>
          <w:rFonts w:eastAsia="Cambria" w:cs="Times New Roman"/>
          <w:bCs/>
          <w:sz w:val="20"/>
          <w:szCs w:val="20"/>
          <w:lang w:val="es-ES"/>
        </w:rPr>
        <w:t>. Pagar las cantidades fijadas por concepto de reintegro de costas y gastos en el plazo de</w:t>
      </w:r>
      <w:r>
        <w:rPr>
          <w:rFonts w:eastAsia="Cambria" w:cs="Times New Roman"/>
          <w:bCs/>
          <w:sz w:val="20"/>
          <w:szCs w:val="20"/>
          <w:lang w:val="es-ES"/>
        </w:rPr>
        <w:t xml:space="preserve"> </w:t>
      </w:r>
      <w:r w:rsidRPr="00AC3572">
        <w:rPr>
          <w:rFonts w:eastAsia="Cambria" w:cs="Times New Roman"/>
          <w:bCs/>
          <w:sz w:val="20"/>
          <w:szCs w:val="20"/>
          <w:lang w:val="es-ES"/>
        </w:rPr>
        <w:t>un año, contado a partir de la notificación de la misma y en los términos de lo establecido en</w:t>
      </w:r>
      <w:r>
        <w:rPr>
          <w:rFonts w:eastAsia="Cambria" w:cs="Times New Roman"/>
          <w:bCs/>
          <w:sz w:val="20"/>
          <w:szCs w:val="20"/>
          <w:lang w:val="es-ES"/>
        </w:rPr>
        <w:t xml:space="preserve"> </w:t>
      </w:r>
      <w:r w:rsidRPr="00AC3572">
        <w:rPr>
          <w:rFonts w:eastAsia="Cambria" w:cs="Times New Roman"/>
          <w:bCs/>
          <w:sz w:val="20"/>
          <w:szCs w:val="20"/>
          <w:lang w:val="es-ES"/>
        </w:rPr>
        <w:t>el párrafo 304 de la presente Sentencia.</w:t>
      </w:r>
    </w:p>
    <w:p w:rsidR="003D4E40" w:rsidRDefault="003D4E40" w:rsidP="006663F3">
      <w:pPr>
        <w:jc w:val="both"/>
        <w:rPr>
          <w:b/>
          <w:sz w:val="20"/>
          <w:szCs w:val="20"/>
          <w:lang w:val="es-ES"/>
        </w:rPr>
      </w:pPr>
    </w:p>
    <w:p w:rsidR="00AC3572" w:rsidRDefault="00AC3572" w:rsidP="006663F3">
      <w:pPr>
        <w:jc w:val="both"/>
        <w:rPr>
          <w:b/>
          <w:sz w:val="20"/>
          <w:szCs w:val="20"/>
          <w:lang w:val="es-ES"/>
        </w:rPr>
      </w:pPr>
    </w:p>
    <w:p w:rsidR="006663F3" w:rsidRDefault="006663F3" w:rsidP="006663F3">
      <w:pPr>
        <w:jc w:val="both"/>
        <w:rPr>
          <w:b/>
          <w:sz w:val="20"/>
          <w:szCs w:val="20"/>
          <w:lang w:val="es-ES"/>
        </w:rPr>
      </w:pPr>
      <w:r>
        <w:rPr>
          <w:b/>
          <w:sz w:val="20"/>
          <w:szCs w:val="20"/>
          <w:lang w:val="es-ES"/>
        </w:rPr>
        <w:t>Cumplimiento parcial:</w:t>
      </w:r>
    </w:p>
    <w:p w:rsidR="006663F3" w:rsidRDefault="006663F3" w:rsidP="006663F3">
      <w:pPr>
        <w:jc w:val="both"/>
        <w:rPr>
          <w:b/>
          <w:sz w:val="20"/>
          <w:szCs w:val="20"/>
          <w:lang w:val="es-ES"/>
        </w:rPr>
      </w:pPr>
    </w:p>
    <w:p w:rsidR="00AC3572" w:rsidRPr="003D4E40" w:rsidRDefault="00AC3572" w:rsidP="00AC3572">
      <w:pPr>
        <w:jc w:val="both"/>
        <w:rPr>
          <w:rFonts w:eastAsia="Cambria" w:cs="Times New Roman"/>
          <w:bCs/>
          <w:sz w:val="20"/>
          <w:szCs w:val="20"/>
          <w:lang w:val="es-ES"/>
        </w:rPr>
      </w:pPr>
      <w:r>
        <w:rPr>
          <w:rFonts w:eastAsia="Cambria" w:cs="Times New Roman"/>
          <w:bCs/>
          <w:sz w:val="20"/>
          <w:szCs w:val="20"/>
          <w:lang w:val="es-ES"/>
        </w:rPr>
        <w:t>8</w:t>
      </w:r>
      <w:bookmarkStart w:id="0" w:name="_GoBack"/>
      <w:bookmarkEnd w:id="0"/>
      <w:r>
        <w:rPr>
          <w:rFonts w:eastAsia="Cambria" w:cs="Times New Roman"/>
          <w:bCs/>
          <w:sz w:val="20"/>
          <w:szCs w:val="20"/>
          <w:lang w:val="es-ES"/>
        </w:rPr>
        <w:t>.</w:t>
      </w:r>
      <w:r>
        <w:rPr>
          <w:rFonts w:eastAsia="Cambria" w:cs="Times New Roman"/>
          <w:bCs/>
          <w:sz w:val="20"/>
          <w:szCs w:val="20"/>
          <w:lang w:val="es-ES"/>
        </w:rPr>
        <w:tab/>
      </w:r>
      <w:r w:rsidRPr="00484A1C">
        <w:rPr>
          <w:rFonts w:eastAsia="Cambria" w:cs="Times New Roman"/>
          <w:bCs/>
          <w:sz w:val="20"/>
          <w:szCs w:val="20"/>
          <w:lang w:val="es-ES"/>
        </w:rPr>
        <w:t xml:space="preserve">Crear un fondo de desarrollo comunitario a favor </w:t>
      </w:r>
      <w:r>
        <w:rPr>
          <w:rFonts w:eastAsia="Cambria" w:cs="Times New Roman"/>
          <w:bCs/>
          <w:sz w:val="20"/>
          <w:szCs w:val="20"/>
          <w:lang w:val="es-ES"/>
        </w:rPr>
        <w:t xml:space="preserve">de los miembros de la Comunidad </w:t>
      </w:r>
      <w:r w:rsidRPr="00484A1C">
        <w:rPr>
          <w:rFonts w:eastAsia="Cambria" w:cs="Times New Roman"/>
          <w:bCs/>
          <w:sz w:val="20"/>
          <w:szCs w:val="20"/>
          <w:lang w:val="es-ES"/>
        </w:rPr>
        <w:t>Garífuna Triunfo de la Cruz, en los términos y plazos estable</w:t>
      </w:r>
      <w:r>
        <w:rPr>
          <w:rFonts w:eastAsia="Cambria" w:cs="Times New Roman"/>
          <w:bCs/>
          <w:sz w:val="20"/>
          <w:szCs w:val="20"/>
          <w:lang w:val="es-ES"/>
        </w:rPr>
        <w:t xml:space="preserve">cidos en los párrafos 289 a 299 </w:t>
      </w:r>
      <w:r w:rsidRPr="00484A1C">
        <w:rPr>
          <w:rFonts w:eastAsia="Cambria" w:cs="Times New Roman"/>
          <w:bCs/>
          <w:sz w:val="20"/>
          <w:szCs w:val="20"/>
          <w:lang w:val="es-ES"/>
        </w:rPr>
        <w:t>de la presente Sentencia.</w:t>
      </w:r>
    </w:p>
    <w:p w:rsidR="003D4E40" w:rsidRPr="003D4E40" w:rsidRDefault="003D4E40" w:rsidP="00587A39">
      <w:pPr>
        <w:jc w:val="both"/>
        <w:rPr>
          <w:rFonts w:eastAsia="Cambria" w:cs="Times New Roman"/>
          <w:bCs/>
          <w:sz w:val="20"/>
          <w:szCs w:val="20"/>
          <w:lang w:val="es-ES"/>
        </w:rPr>
      </w:pPr>
    </w:p>
    <w:p w:rsidR="003D4E40" w:rsidRPr="003D4E40" w:rsidRDefault="003D4E40" w:rsidP="003D4E40">
      <w:pPr>
        <w:jc w:val="both"/>
        <w:rPr>
          <w:rFonts w:eastAsia="Cambria" w:cs="Times New Roman"/>
          <w:bCs/>
          <w:sz w:val="20"/>
          <w:szCs w:val="20"/>
          <w:lang w:val="es-ES"/>
        </w:rPr>
      </w:pPr>
      <w:r w:rsidRPr="003D4E40">
        <w:rPr>
          <w:rFonts w:eastAsia="Cambria" w:cs="Times New Roman"/>
          <w:bCs/>
          <w:sz w:val="20"/>
          <w:szCs w:val="20"/>
          <w:lang w:val="es-ES"/>
        </w:rPr>
        <w:t>E</w:t>
      </w:r>
      <w:r w:rsidR="00587A39">
        <w:rPr>
          <w:rFonts w:eastAsia="Cambria" w:cs="Times New Roman"/>
          <w:bCs/>
          <w:sz w:val="20"/>
          <w:szCs w:val="20"/>
          <w:lang w:val="es-ES"/>
        </w:rPr>
        <w:t>n el Considerando 8</w:t>
      </w:r>
      <w:r w:rsidRPr="003D4E40">
        <w:rPr>
          <w:rFonts w:eastAsia="Cambria" w:cs="Times New Roman"/>
          <w:bCs/>
          <w:sz w:val="20"/>
          <w:szCs w:val="20"/>
          <w:lang w:val="es-ES"/>
        </w:rPr>
        <w:t xml:space="preserve"> de la resolución de la Corte </w:t>
      </w:r>
      <w:r w:rsidR="00587A39">
        <w:rPr>
          <w:rFonts w:eastAsia="Cambria" w:cs="Times New Roman"/>
          <w:bCs/>
          <w:sz w:val="20"/>
          <w:szCs w:val="20"/>
          <w:lang w:val="es-ES"/>
        </w:rPr>
        <w:t>de 30 de abril de 2021</w:t>
      </w:r>
      <w:r w:rsidRPr="003D4E40">
        <w:rPr>
          <w:rFonts w:eastAsia="Cambria" w:cs="Times New Roman"/>
          <w:bCs/>
          <w:sz w:val="20"/>
          <w:szCs w:val="20"/>
          <w:lang w:val="es-ES"/>
        </w:rPr>
        <w:t xml:space="preserve"> se explica lo que</w:t>
      </w:r>
      <w:r w:rsidR="00587A39">
        <w:rPr>
          <w:rFonts w:eastAsia="Cambria" w:cs="Times New Roman"/>
          <w:bCs/>
          <w:sz w:val="20"/>
          <w:szCs w:val="20"/>
          <w:lang w:val="es-ES"/>
        </w:rPr>
        <w:t xml:space="preserve"> </w:t>
      </w:r>
      <w:r w:rsidRPr="003D4E40">
        <w:rPr>
          <w:rFonts w:eastAsia="Cambria" w:cs="Times New Roman"/>
          <w:bCs/>
          <w:sz w:val="20"/>
          <w:szCs w:val="20"/>
          <w:lang w:val="es-ES"/>
        </w:rPr>
        <w:t>continua pendiente de cumplimiento respecto a la presente medida de reparación:</w:t>
      </w:r>
    </w:p>
    <w:p w:rsidR="003D4E40" w:rsidRDefault="003D4E40" w:rsidP="003D4E40">
      <w:pPr>
        <w:jc w:val="both"/>
        <w:rPr>
          <w:rFonts w:eastAsia="Cambria" w:cs="Times New Roman"/>
          <w:bCs/>
          <w:sz w:val="20"/>
          <w:szCs w:val="20"/>
          <w:lang w:val="es-ES"/>
        </w:rPr>
      </w:pPr>
    </w:p>
    <w:p w:rsidR="00587A39" w:rsidRPr="00587A39" w:rsidRDefault="00587A39" w:rsidP="00587A39">
      <w:pPr>
        <w:ind w:left="567" w:right="567"/>
        <w:jc w:val="both"/>
        <w:rPr>
          <w:rFonts w:eastAsia="Cambria" w:cs="Times New Roman"/>
          <w:bCs/>
          <w:sz w:val="18"/>
          <w:szCs w:val="20"/>
          <w:lang w:val="es-ES"/>
        </w:rPr>
      </w:pPr>
      <w:r>
        <w:rPr>
          <w:rFonts w:eastAsia="Cambria" w:cs="Times New Roman"/>
          <w:bCs/>
          <w:sz w:val="18"/>
          <w:szCs w:val="20"/>
          <w:lang w:val="es-ES"/>
        </w:rPr>
        <w:t>8</w:t>
      </w:r>
      <w:r w:rsidR="003D4E40" w:rsidRPr="003D4E40">
        <w:rPr>
          <w:rFonts w:eastAsia="Cambria" w:cs="Times New Roman"/>
          <w:bCs/>
          <w:sz w:val="18"/>
          <w:szCs w:val="20"/>
          <w:lang w:val="es-ES"/>
        </w:rPr>
        <w:t xml:space="preserve">. </w:t>
      </w:r>
      <w:r w:rsidRPr="00587A39">
        <w:rPr>
          <w:rFonts w:eastAsia="Cambria" w:cs="Times New Roman"/>
          <w:bCs/>
          <w:sz w:val="18"/>
          <w:szCs w:val="20"/>
          <w:lang w:val="es-ES"/>
        </w:rPr>
        <w:t>Con bas</w:t>
      </w:r>
      <w:r>
        <w:rPr>
          <w:rFonts w:eastAsia="Cambria" w:cs="Times New Roman"/>
          <w:bCs/>
          <w:sz w:val="18"/>
          <w:szCs w:val="20"/>
          <w:lang w:val="es-ES"/>
        </w:rPr>
        <w:t>e en los comprobantes aportados</w:t>
      </w:r>
      <w:r w:rsidRPr="00587A39">
        <w:rPr>
          <w:rFonts w:eastAsia="Cambria" w:cs="Times New Roman"/>
          <w:bCs/>
          <w:sz w:val="18"/>
          <w:szCs w:val="20"/>
          <w:lang w:val="es-ES"/>
        </w:rPr>
        <w:t>, y teniendo en cuenta que los</w:t>
      </w:r>
      <w:r>
        <w:rPr>
          <w:rFonts w:eastAsia="Cambria" w:cs="Times New Roman"/>
          <w:bCs/>
          <w:sz w:val="18"/>
          <w:szCs w:val="20"/>
          <w:lang w:val="es-ES"/>
        </w:rPr>
        <w:t xml:space="preserve"> </w:t>
      </w:r>
      <w:r w:rsidRPr="00587A39">
        <w:rPr>
          <w:rFonts w:eastAsia="Cambria" w:cs="Times New Roman"/>
          <w:bCs/>
          <w:sz w:val="18"/>
          <w:szCs w:val="20"/>
          <w:lang w:val="es-ES"/>
        </w:rPr>
        <w:t>representantes no controvirti</w:t>
      </w:r>
      <w:r w:rsidR="009F64A6">
        <w:rPr>
          <w:rFonts w:eastAsia="Cambria" w:cs="Times New Roman"/>
          <w:bCs/>
          <w:sz w:val="18"/>
          <w:szCs w:val="20"/>
          <w:lang w:val="es-ES"/>
        </w:rPr>
        <w:t>eron lo informado por el Estado</w:t>
      </w:r>
      <w:r w:rsidRPr="00587A39">
        <w:rPr>
          <w:rFonts w:eastAsia="Cambria" w:cs="Times New Roman"/>
          <w:bCs/>
          <w:sz w:val="18"/>
          <w:szCs w:val="20"/>
          <w:lang w:val="es-ES"/>
        </w:rPr>
        <w:t>, este Tribunal constata que</w:t>
      </w:r>
      <w:r>
        <w:rPr>
          <w:rFonts w:eastAsia="Cambria" w:cs="Times New Roman"/>
          <w:bCs/>
          <w:sz w:val="18"/>
          <w:szCs w:val="20"/>
          <w:lang w:val="es-ES"/>
        </w:rPr>
        <w:t xml:space="preserve"> </w:t>
      </w:r>
      <w:r w:rsidRPr="00587A39">
        <w:rPr>
          <w:rFonts w:eastAsia="Cambria" w:cs="Times New Roman"/>
          <w:bCs/>
          <w:sz w:val="18"/>
          <w:szCs w:val="20"/>
          <w:lang w:val="es-ES"/>
        </w:rPr>
        <w:t>Honduras ha cumplido parcialmente con la creación de fondos de desarrollo comunitario a</w:t>
      </w:r>
      <w:r>
        <w:rPr>
          <w:rFonts w:eastAsia="Cambria" w:cs="Times New Roman"/>
          <w:bCs/>
          <w:sz w:val="18"/>
          <w:szCs w:val="20"/>
          <w:lang w:val="es-ES"/>
        </w:rPr>
        <w:t xml:space="preserve"> </w:t>
      </w:r>
      <w:r w:rsidRPr="00587A39">
        <w:rPr>
          <w:rFonts w:eastAsia="Cambria" w:cs="Times New Roman"/>
          <w:bCs/>
          <w:sz w:val="18"/>
          <w:szCs w:val="20"/>
          <w:lang w:val="es-ES"/>
        </w:rPr>
        <w:t>favor de los miembros de las Comunidades, en tanto procedió a la apertura de cuentas a favor</w:t>
      </w:r>
      <w:r>
        <w:rPr>
          <w:rFonts w:eastAsia="Cambria" w:cs="Times New Roman"/>
          <w:bCs/>
          <w:sz w:val="18"/>
          <w:szCs w:val="20"/>
          <w:lang w:val="es-ES"/>
        </w:rPr>
        <w:t xml:space="preserve"> </w:t>
      </w:r>
      <w:r w:rsidRPr="00587A39">
        <w:rPr>
          <w:rFonts w:eastAsia="Cambria" w:cs="Times New Roman"/>
          <w:bCs/>
          <w:sz w:val="18"/>
          <w:szCs w:val="20"/>
          <w:lang w:val="es-ES"/>
        </w:rPr>
        <w:t>de cada una de las Comunidades por un monto de US$ 816,200.64 para cada una, lo cual</w:t>
      </w:r>
      <w:r>
        <w:rPr>
          <w:rFonts w:eastAsia="Cambria" w:cs="Times New Roman"/>
          <w:bCs/>
          <w:sz w:val="18"/>
          <w:szCs w:val="20"/>
          <w:lang w:val="es-ES"/>
        </w:rPr>
        <w:t xml:space="preserve"> </w:t>
      </w:r>
      <w:r w:rsidRPr="00587A39">
        <w:rPr>
          <w:rFonts w:eastAsia="Cambria" w:cs="Times New Roman"/>
          <w:bCs/>
          <w:sz w:val="18"/>
          <w:szCs w:val="20"/>
          <w:lang w:val="es-ES"/>
        </w:rPr>
        <w:t xml:space="preserve">constituye </w:t>
      </w:r>
      <w:r w:rsidRPr="00587A39">
        <w:rPr>
          <w:rFonts w:eastAsia="Cambria" w:cs="Times New Roman"/>
          <w:bCs/>
          <w:sz w:val="18"/>
          <w:szCs w:val="20"/>
          <w:lang w:val="es-ES"/>
        </w:rPr>
        <w:lastRenderedPageBreak/>
        <w:t>un poco más de la mitad del monto ordenado en cada Sentencia, quedando</w:t>
      </w:r>
      <w:r>
        <w:rPr>
          <w:rFonts w:eastAsia="Cambria" w:cs="Times New Roman"/>
          <w:bCs/>
          <w:sz w:val="18"/>
          <w:szCs w:val="20"/>
          <w:lang w:val="es-ES"/>
        </w:rPr>
        <w:t xml:space="preserve"> pendiente</w:t>
      </w:r>
      <w:r w:rsidRPr="00587A39">
        <w:rPr>
          <w:rFonts w:eastAsia="Cambria" w:cs="Times New Roman"/>
          <w:bCs/>
          <w:sz w:val="18"/>
          <w:szCs w:val="20"/>
          <w:lang w:val="es-ES"/>
        </w:rPr>
        <w:t>: (i) depositar los montos restantes de acuerdo a las cantidades totales ordenadas</w:t>
      </w:r>
      <w:r>
        <w:rPr>
          <w:rFonts w:eastAsia="Cambria" w:cs="Times New Roman"/>
          <w:bCs/>
          <w:sz w:val="18"/>
          <w:szCs w:val="20"/>
          <w:lang w:val="es-ES"/>
        </w:rPr>
        <w:t xml:space="preserve"> </w:t>
      </w:r>
      <w:r w:rsidRPr="00587A39">
        <w:rPr>
          <w:rFonts w:eastAsia="Cambria" w:cs="Times New Roman"/>
          <w:bCs/>
          <w:sz w:val="18"/>
          <w:szCs w:val="20"/>
          <w:lang w:val="es-ES"/>
        </w:rPr>
        <w:t>en las Sentencias; (ii) que el Estado nombre una autoridad con competencia en la materia, a</w:t>
      </w:r>
      <w:r>
        <w:rPr>
          <w:rFonts w:eastAsia="Cambria" w:cs="Times New Roman"/>
          <w:bCs/>
          <w:sz w:val="18"/>
          <w:szCs w:val="20"/>
          <w:lang w:val="es-ES"/>
        </w:rPr>
        <w:t xml:space="preserve"> </w:t>
      </w:r>
      <w:r w:rsidRPr="00587A39">
        <w:rPr>
          <w:rFonts w:eastAsia="Cambria" w:cs="Times New Roman"/>
          <w:bCs/>
          <w:sz w:val="18"/>
          <w:szCs w:val="20"/>
          <w:lang w:val="es-ES"/>
        </w:rPr>
        <w:t>cargo de la administración de los fondos, y (iii) que las Comunidades elijan una representación</w:t>
      </w:r>
      <w:r>
        <w:rPr>
          <w:rFonts w:eastAsia="Cambria" w:cs="Times New Roman"/>
          <w:bCs/>
          <w:sz w:val="18"/>
          <w:szCs w:val="20"/>
          <w:lang w:val="es-ES"/>
        </w:rPr>
        <w:t xml:space="preserve"> </w:t>
      </w:r>
      <w:r w:rsidRPr="00587A39">
        <w:rPr>
          <w:rFonts w:eastAsia="Cambria" w:cs="Times New Roman"/>
          <w:bCs/>
          <w:sz w:val="18"/>
          <w:szCs w:val="20"/>
          <w:lang w:val="es-ES"/>
        </w:rPr>
        <w:t>para la interlocución con el Estado, a fin de que la implementación de los fondos se realice</w:t>
      </w:r>
    </w:p>
    <w:p w:rsidR="006663F3" w:rsidRPr="003D4E40" w:rsidRDefault="00587A39" w:rsidP="00587A39">
      <w:pPr>
        <w:ind w:left="567" w:right="567"/>
        <w:jc w:val="both"/>
        <w:rPr>
          <w:rFonts w:eastAsia="Cambria" w:cs="Times New Roman"/>
          <w:bCs/>
          <w:sz w:val="18"/>
          <w:szCs w:val="20"/>
          <w:lang w:val="es-ES"/>
        </w:rPr>
      </w:pPr>
      <w:r w:rsidRPr="00587A39">
        <w:rPr>
          <w:rFonts w:eastAsia="Cambria" w:cs="Times New Roman"/>
          <w:bCs/>
          <w:sz w:val="18"/>
          <w:szCs w:val="20"/>
          <w:lang w:val="es-ES"/>
        </w:rPr>
        <w:t>conforme lo disponga cada Comunidad.</w:t>
      </w: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64" w:rsidRDefault="00872564" w:rsidP="009F7EF4">
      <w:r>
        <w:separator/>
      </w:r>
    </w:p>
  </w:endnote>
  <w:endnote w:type="continuationSeparator" w:id="0">
    <w:p w:rsidR="00872564" w:rsidRDefault="0087256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64" w:rsidRDefault="00872564" w:rsidP="009F7EF4">
      <w:r>
        <w:separator/>
      </w:r>
    </w:p>
  </w:footnote>
  <w:footnote w:type="continuationSeparator" w:id="0">
    <w:p w:rsidR="00872564" w:rsidRDefault="0087256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A1B9E">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930F6"/>
    <w:rsid w:val="00101CC6"/>
    <w:rsid w:val="001426AA"/>
    <w:rsid w:val="00296F77"/>
    <w:rsid w:val="002B3295"/>
    <w:rsid w:val="002D41F7"/>
    <w:rsid w:val="003A7E5E"/>
    <w:rsid w:val="003C561A"/>
    <w:rsid w:val="003D4E40"/>
    <w:rsid w:val="00474D04"/>
    <w:rsid w:val="00476F6E"/>
    <w:rsid w:val="00587A39"/>
    <w:rsid w:val="005C68A4"/>
    <w:rsid w:val="005D1A85"/>
    <w:rsid w:val="00617B3E"/>
    <w:rsid w:val="006663F3"/>
    <w:rsid w:val="006C38A6"/>
    <w:rsid w:val="006D653B"/>
    <w:rsid w:val="006F2690"/>
    <w:rsid w:val="00774B82"/>
    <w:rsid w:val="00872564"/>
    <w:rsid w:val="00926FFB"/>
    <w:rsid w:val="009832C0"/>
    <w:rsid w:val="009D22BE"/>
    <w:rsid w:val="009F64A6"/>
    <w:rsid w:val="009F7EF4"/>
    <w:rsid w:val="00A07758"/>
    <w:rsid w:val="00AC3572"/>
    <w:rsid w:val="00AE0035"/>
    <w:rsid w:val="00B11B9B"/>
    <w:rsid w:val="00B32A37"/>
    <w:rsid w:val="00BA6BA9"/>
    <w:rsid w:val="00BC5824"/>
    <w:rsid w:val="00C4747D"/>
    <w:rsid w:val="00C77C0C"/>
    <w:rsid w:val="00C807CF"/>
    <w:rsid w:val="00D3440D"/>
    <w:rsid w:val="00DA1B9E"/>
    <w:rsid w:val="00DF4BDA"/>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6EB2"/>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542</Words>
  <Characters>2983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 &lt;corteidh@corteidh.or.cr&gt;</dc:creator>
  <cp:lastModifiedBy>Romina Troconis</cp:lastModifiedBy>
  <cp:revision>9</cp:revision>
  <cp:lastPrinted>2018-06-18T15:21:00Z</cp:lastPrinted>
  <dcterms:created xsi:type="dcterms:W3CDTF">2021-06-25T16:30:00Z</dcterms:created>
  <dcterms:modified xsi:type="dcterms:W3CDTF">2021-06-30T18:06:00Z</dcterms:modified>
</cp:coreProperties>
</file>