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90" w:rsidRPr="00D745B0" w:rsidRDefault="00D745B0" w:rsidP="00D35D90">
      <w:pPr>
        <w:jc w:val="center"/>
        <w:rPr>
          <w:b/>
          <w:sz w:val="20"/>
          <w:szCs w:val="20"/>
          <w:u w:val="single"/>
          <w:lang w:val="es-MX"/>
        </w:rPr>
      </w:pPr>
      <w:bookmarkStart w:id="0" w:name="_GoBack"/>
      <w:r w:rsidRPr="00D745B0">
        <w:rPr>
          <w:b/>
          <w:sz w:val="20"/>
          <w:szCs w:val="20"/>
          <w:u w:val="single"/>
          <w:lang w:val="es-CR"/>
        </w:rPr>
        <w:t xml:space="preserve">Caso López </w:t>
      </w:r>
      <w:proofErr w:type="spellStart"/>
      <w:r w:rsidRPr="00D745B0">
        <w:rPr>
          <w:b/>
          <w:sz w:val="20"/>
          <w:szCs w:val="20"/>
          <w:u w:val="single"/>
          <w:lang w:val="es-CR"/>
        </w:rPr>
        <w:t>Lone</w:t>
      </w:r>
      <w:proofErr w:type="spellEnd"/>
      <w:r w:rsidRPr="00D745B0">
        <w:rPr>
          <w:b/>
          <w:sz w:val="20"/>
          <w:szCs w:val="20"/>
          <w:u w:val="single"/>
          <w:lang w:val="es-CR"/>
        </w:rPr>
        <w:t xml:space="preserve"> y otros Vs. Honduras</w:t>
      </w:r>
      <w:bookmarkEnd w:id="0"/>
      <w:r w:rsidRPr="00D745B0">
        <w:rPr>
          <w:b/>
          <w:sz w:val="20"/>
          <w:szCs w:val="20"/>
          <w:u w:val="single"/>
          <w:lang w:val="es-CR"/>
        </w:rPr>
        <w:t>:</w:t>
      </w:r>
      <w:r w:rsidR="00D35D90" w:rsidRPr="00D745B0">
        <w:rPr>
          <w:b/>
          <w:sz w:val="20"/>
          <w:szCs w:val="20"/>
          <w:u w:val="single"/>
          <w:lang w:val="es-MX"/>
        </w:rPr>
        <w:t xml:space="preserve"> reparaciones declaradas cumplidas</w:t>
      </w:r>
    </w:p>
    <w:p w:rsidR="00C4747D" w:rsidRPr="00D35D90" w:rsidRDefault="00C4747D" w:rsidP="00C77C0C">
      <w:pPr>
        <w:rPr>
          <w:sz w:val="24"/>
          <w:szCs w:val="20"/>
        </w:rPr>
      </w:pPr>
    </w:p>
    <w:p w:rsidR="00D35D90" w:rsidRPr="00D35D90" w:rsidRDefault="00D35D90" w:rsidP="006663F3">
      <w:pPr>
        <w:jc w:val="both"/>
        <w:rPr>
          <w:sz w:val="20"/>
        </w:rPr>
      </w:pPr>
      <w:r w:rsidRPr="00D35D90">
        <w:rPr>
          <w:sz w:val="20"/>
        </w:rPr>
        <w:t>1.</w:t>
      </w:r>
      <w:r w:rsidRPr="00D35D90">
        <w:rPr>
          <w:sz w:val="20"/>
        </w:rPr>
        <w:tab/>
        <w:t xml:space="preserve">El Estado debe pagar las cantidades fijadas en los párrafos 234, 235 y 239 de la presente Sentencia por concepto de indemnizaciones por daños materiales e inmateriales en los términos de los referidos párrafos y de los párrafos 246 a 251 del presente Fallo. </w:t>
      </w:r>
    </w:p>
    <w:p w:rsidR="00D35D90" w:rsidRPr="00D35D90" w:rsidRDefault="00D35D90" w:rsidP="006663F3">
      <w:pPr>
        <w:jc w:val="both"/>
        <w:rPr>
          <w:sz w:val="20"/>
        </w:rPr>
      </w:pPr>
    </w:p>
    <w:p w:rsidR="006663F3" w:rsidRPr="00D35D90" w:rsidRDefault="00D35D90" w:rsidP="006663F3">
      <w:pPr>
        <w:jc w:val="both"/>
        <w:rPr>
          <w:sz w:val="24"/>
          <w:szCs w:val="20"/>
        </w:rPr>
      </w:pPr>
      <w:r w:rsidRPr="00D35D90">
        <w:rPr>
          <w:sz w:val="20"/>
        </w:rPr>
        <w:t>2.</w:t>
      </w:r>
      <w:r w:rsidRPr="00D35D90">
        <w:rPr>
          <w:sz w:val="20"/>
        </w:rPr>
        <w:tab/>
        <w:t>El Estado debe pagar las cantidades fijadas en el párrafo 242 de la presente Sentencia por concepto de por el reintegro de costas y gastos en los términos del referido párrafo y de los párrafos 246 a 251 del presente Fallo.</w:t>
      </w:r>
    </w:p>
    <w:p w:rsidR="00D35D90" w:rsidRPr="00D35D90" w:rsidRDefault="00D35D90" w:rsidP="00D35D90">
      <w:pPr>
        <w:pStyle w:val="Prrafodelista"/>
        <w:tabs>
          <w:tab w:val="left" w:pos="720"/>
        </w:tabs>
        <w:ind w:left="0" w:right="-90"/>
        <w:contextualSpacing w:val="0"/>
        <w:rPr>
          <w:rFonts w:eastAsia="Cambria" w:cs="Times New Roman"/>
          <w:bCs/>
          <w:sz w:val="24"/>
          <w:szCs w:val="20"/>
          <w:lang w:val="es-ES"/>
        </w:rPr>
      </w:pPr>
    </w:p>
    <w:p w:rsidR="00D35D90" w:rsidRDefault="00D35D90" w:rsidP="00D35D90">
      <w:pPr>
        <w:jc w:val="both"/>
        <w:rPr>
          <w:b/>
          <w:sz w:val="20"/>
          <w:szCs w:val="20"/>
          <w:lang w:val="es-ES"/>
        </w:rPr>
      </w:pPr>
      <w:r>
        <w:rPr>
          <w:b/>
          <w:sz w:val="20"/>
          <w:szCs w:val="20"/>
          <w:lang w:val="es-ES"/>
        </w:rPr>
        <w:t>Cumplimiento parcial:</w:t>
      </w:r>
    </w:p>
    <w:p w:rsidR="00D35D90" w:rsidRDefault="00D35D90" w:rsidP="00D35D90">
      <w:pPr>
        <w:jc w:val="both"/>
        <w:rPr>
          <w:b/>
          <w:sz w:val="20"/>
          <w:szCs w:val="20"/>
          <w:lang w:val="es-ES"/>
        </w:rPr>
      </w:pPr>
    </w:p>
    <w:p w:rsidR="00367542" w:rsidRDefault="00367542" w:rsidP="00367542">
      <w:pPr>
        <w:tabs>
          <w:tab w:val="left" w:pos="720"/>
        </w:tabs>
        <w:ind w:right="-90"/>
        <w:jc w:val="both"/>
        <w:rPr>
          <w:rFonts w:eastAsia="Cambria" w:cs="Times New Roman"/>
          <w:bCs/>
          <w:sz w:val="20"/>
          <w:szCs w:val="20"/>
          <w:lang w:val="es-ES"/>
        </w:rPr>
      </w:pPr>
      <w:r>
        <w:rPr>
          <w:rFonts w:eastAsia="Cambria" w:cs="Times New Roman"/>
          <w:bCs/>
          <w:sz w:val="20"/>
          <w:szCs w:val="20"/>
          <w:lang w:val="es-ES"/>
        </w:rPr>
        <w:t>3</w:t>
      </w:r>
      <w:r>
        <w:rPr>
          <w:rFonts w:eastAsia="Cambria" w:cs="Times New Roman"/>
          <w:bCs/>
          <w:sz w:val="20"/>
          <w:szCs w:val="20"/>
          <w:lang w:val="es-ES"/>
        </w:rPr>
        <w:t>.</w:t>
      </w:r>
      <w:r>
        <w:rPr>
          <w:rFonts w:eastAsia="Cambria" w:cs="Times New Roman"/>
          <w:bCs/>
          <w:sz w:val="20"/>
          <w:szCs w:val="20"/>
          <w:lang w:val="es-ES"/>
        </w:rPr>
        <w:tab/>
      </w:r>
      <w:r w:rsidRPr="00D745B0">
        <w:rPr>
          <w:rFonts w:eastAsia="Cambria" w:cs="Times New Roman"/>
          <w:bCs/>
          <w:sz w:val="20"/>
          <w:szCs w:val="20"/>
          <w:lang w:val="es-ES"/>
        </w:rPr>
        <w:t xml:space="preserve">Reincorporar a Adán Guillermo López </w:t>
      </w:r>
      <w:proofErr w:type="spellStart"/>
      <w:r w:rsidRPr="00D745B0">
        <w:rPr>
          <w:rFonts w:eastAsia="Cambria" w:cs="Times New Roman"/>
          <w:bCs/>
          <w:sz w:val="20"/>
          <w:szCs w:val="20"/>
          <w:lang w:val="es-ES"/>
        </w:rPr>
        <w:t>Lone</w:t>
      </w:r>
      <w:proofErr w:type="spellEnd"/>
      <w:r w:rsidRPr="00D745B0">
        <w:rPr>
          <w:rFonts w:eastAsia="Cambria" w:cs="Times New Roman"/>
          <w:bCs/>
          <w:sz w:val="20"/>
          <w:szCs w:val="20"/>
          <w:lang w:val="es-ES"/>
        </w:rPr>
        <w:t xml:space="preserve">, </w:t>
      </w:r>
      <w:proofErr w:type="spellStart"/>
      <w:r w:rsidRPr="00D745B0">
        <w:rPr>
          <w:rFonts w:eastAsia="Cambria" w:cs="Times New Roman"/>
          <w:bCs/>
          <w:sz w:val="20"/>
          <w:szCs w:val="20"/>
          <w:lang w:val="es-ES"/>
        </w:rPr>
        <w:t>Tirza</w:t>
      </w:r>
      <w:proofErr w:type="spellEnd"/>
      <w:r w:rsidRPr="00D745B0">
        <w:rPr>
          <w:rFonts w:eastAsia="Cambria" w:cs="Times New Roman"/>
          <w:bCs/>
          <w:sz w:val="20"/>
          <w:szCs w:val="20"/>
          <w:lang w:val="es-ES"/>
        </w:rPr>
        <w:t xml:space="preserve"> del Carmen Flores Lanza y Luis </w:t>
      </w:r>
      <w:proofErr w:type="spellStart"/>
      <w:r w:rsidRPr="00D745B0">
        <w:rPr>
          <w:rFonts w:eastAsia="Cambria" w:cs="Times New Roman"/>
          <w:bCs/>
          <w:sz w:val="20"/>
          <w:szCs w:val="20"/>
          <w:lang w:val="es-ES"/>
        </w:rPr>
        <w:t>Chévez</w:t>
      </w:r>
      <w:proofErr w:type="spellEnd"/>
      <w:r>
        <w:rPr>
          <w:rFonts w:eastAsia="Cambria" w:cs="Times New Roman"/>
          <w:bCs/>
          <w:sz w:val="20"/>
          <w:szCs w:val="20"/>
          <w:lang w:val="es-ES"/>
        </w:rPr>
        <w:t xml:space="preserve"> </w:t>
      </w:r>
      <w:r w:rsidRPr="00D745B0">
        <w:rPr>
          <w:rFonts w:eastAsia="Cambria" w:cs="Times New Roman"/>
          <w:bCs/>
          <w:sz w:val="20"/>
          <w:szCs w:val="20"/>
          <w:lang w:val="es-ES"/>
        </w:rPr>
        <w:t>de la Rocha a cargos similares a los que desempeñaba</w:t>
      </w:r>
      <w:r>
        <w:rPr>
          <w:rFonts w:eastAsia="Cambria" w:cs="Times New Roman"/>
          <w:bCs/>
          <w:sz w:val="20"/>
          <w:szCs w:val="20"/>
          <w:lang w:val="es-ES"/>
        </w:rPr>
        <w:t xml:space="preserve">n al momento de los hechos, con </w:t>
      </w:r>
      <w:r w:rsidRPr="00D745B0">
        <w:rPr>
          <w:rFonts w:eastAsia="Cambria" w:cs="Times New Roman"/>
          <w:bCs/>
          <w:sz w:val="20"/>
          <w:szCs w:val="20"/>
          <w:lang w:val="es-ES"/>
        </w:rPr>
        <w:t xml:space="preserve">la misma remuneración, beneficios sociales y rango equiparables a los que </w:t>
      </w:r>
      <w:proofErr w:type="gramStart"/>
      <w:r w:rsidRPr="00D745B0">
        <w:rPr>
          <w:rFonts w:eastAsia="Cambria" w:cs="Times New Roman"/>
          <w:bCs/>
          <w:sz w:val="20"/>
          <w:szCs w:val="20"/>
          <w:lang w:val="es-ES"/>
        </w:rPr>
        <w:t>les</w:t>
      </w:r>
      <w:proofErr w:type="gramEnd"/>
      <w:r>
        <w:rPr>
          <w:rFonts w:eastAsia="Cambria" w:cs="Times New Roman"/>
          <w:bCs/>
          <w:sz w:val="20"/>
          <w:szCs w:val="20"/>
          <w:lang w:val="es-ES"/>
        </w:rPr>
        <w:t xml:space="preserve"> </w:t>
      </w:r>
      <w:r w:rsidRPr="00D745B0">
        <w:rPr>
          <w:rFonts w:eastAsia="Cambria" w:cs="Times New Roman"/>
          <w:bCs/>
          <w:sz w:val="20"/>
          <w:szCs w:val="20"/>
          <w:lang w:val="es-ES"/>
        </w:rPr>
        <w:t>correspondería a la fecha si hubiesen sido reincorporados en su momento, de</w:t>
      </w:r>
      <w:r>
        <w:rPr>
          <w:rFonts w:eastAsia="Cambria" w:cs="Times New Roman"/>
          <w:bCs/>
          <w:sz w:val="20"/>
          <w:szCs w:val="20"/>
          <w:lang w:val="es-ES"/>
        </w:rPr>
        <w:t xml:space="preserve"> </w:t>
      </w:r>
      <w:r w:rsidRPr="00D745B0">
        <w:rPr>
          <w:rFonts w:eastAsia="Cambria" w:cs="Times New Roman"/>
          <w:bCs/>
          <w:sz w:val="20"/>
          <w:szCs w:val="20"/>
          <w:lang w:val="es-ES"/>
        </w:rPr>
        <w:t>conformidad con lo establecido en el párrafos 297 y 298. En caso que no fuera posible la</w:t>
      </w:r>
      <w:r>
        <w:rPr>
          <w:rFonts w:eastAsia="Cambria" w:cs="Times New Roman"/>
          <w:bCs/>
          <w:sz w:val="20"/>
          <w:szCs w:val="20"/>
          <w:lang w:val="es-ES"/>
        </w:rPr>
        <w:t xml:space="preserve"> </w:t>
      </w:r>
      <w:r w:rsidRPr="00D745B0">
        <w:rPr>
          <w:rFonts w:eastAsia="Cambria" w:cs="Times New Roman"/>
          <w:bCs/>
          <w:sz w:val="20"/>
          <w:szCs w:val="20"/>
          <w:lang w:val="es-ES"/>
        </w:rPr>
        <w:t>reincorporación, deberá pagarles la cantidad establecida en el párrafo 299 de la presente</w:t>
      </w:r>
      <w:r>
        <w:rPr>
          <w:rFonts w:eastAsia="Cambria" w:cs="Times New Roman"/>
          <w:bCs/>
          <w:sz w:val="20"/>
          <w:szCs w:val="20"/>
          <w:lang w:val="es-ES"/>
        </w:rPr>
        <w:t xml:space="preserve"> </w:t>
      </w:r>
      <w:r w:rsidRPr="00D745B0">
        <w:rPr>
          <w:rFonts w:eastAsia="Cambria" w:cs="Times New Roman"/>
          <w:bCs/>
          <w:sz w:val="20"/>
          <w:szCs w:val="20"/>
          <w:lang w:val="es-ES"/>
        </w:rPr>
        <w:t>Sentencia.</w:t>
      </w:r>
      <w:r w:rsidRPr="00D745B0">
        <w:rPr>
          <w:rFonts w:eastAsia="Cambria" w:cs="Times New Roman"/>
          <w:bCs/>
          <w:sz w:val="20"/>
          <w:szCs w:val="20"/>
          <w:lang w:val="es-ES"/>
        </w:rPr>
        <w:cr/>
      </w:r>
    </w:p>
    <w:p w:rsidR="00367542" w:rsidRDefault="00367542" w:rsidP="00367542">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25 y 26 de la resolución de 9 de marzo de 2020, se explica </w:t>
      </w:r>
      <w:r w:rsidRPr="00AA6B2F">
        <w:rPr>
          <w:rFonts w:eastAsia="Cambria" w:cs="Times New Roman"/>
          <w:bCs/>
          <w:sz w:val="20"/>
          <w:szCs w:val="20"/>
          <w:lang w:val="es-ES"/>
        </w:rPr>
        <w:t>lo que continúa pendiente de cumplimiento respecto a la presente medida de reparación:</w:t>
      </w:r>
    </w:p>
    <w:p w:rsidR="00367542" w:rsidRDefault="00367542" w:rsidP="00367542">
      <w:pPr>
        <w:tabs>
          <w:tab w:val="left" w:pos="720"/>
        </w:tabs>
        <w:ind w:right="-90"/>
        <w:jc w:val="both"/>
        <w:rPr>
          <w:rFonts w:eastAsia="Cambria" w:cs="Times New Roman"/>
          <w:bCs/>
          <w:sz w:val="20"/>
          <w:szCs w:val="20"/>
          <w:lang w:val="es-ES"/>
        </w:rPr>
      </w:pPr>
    </w:p>
    <w:p w:rsidR="00367542" w:rsidRDefault="00367542" w:rsidP="00367542">
      <w:pPr>
        <w:tabs>
          <w:tab w:val="left" w:pos="720"/>
        </w:tabs>
        <w:ind w:left="567" w:right="567"/>
        <w:jc w:val="both"/>
        <w:rPr>
          <w:rFonts w:eastAsia="Cambria" w:cs="Times New Roman"/>
          <w:bCs/>
          <w:sz w:val="18"/>
          <w:szCs w:val="20"/>
        </w:rPr>
      </w:pPr>
      <w:r w:rsidRPr="00D745B0">
        <w:rPr>
          <w:rFonts w:eastAsia="Cambria" w:cs="Times New Roman"/>
          <w:bCs/>
          <w:sz w:val="18"/>
          <w:szCs w:val="20"/>
        </w:rPr>
        <w:t>25. Por todo lo anterior, este Tribunal considera que, aunque el Estado ha venido dando</w:t>
      </w:r>
      <w:r>
        <w:rPr>
          <w:rFonts w:eastAsia="Cambria" w:cs="Times New Roman"/>
          <w:bCs/>
          <w:sz w:val="18"/>
          <w:szCs w:val="20"/>
        </w:rPr>
        <w:t xml:space="preserve"> </w:t>
      </w:r>
      <w:r w:rsidRPr="00D745B0">
        <w:rPr>
          <w:rFonts w:eastAsia="Cambria" w:cs="Times New Roman"/>
          <w:bCs/>
          <w:sz w:val="18"/>
          <w:szCs w:val="20"/>
        </w:rPr>
        <w:t>pasos para su ejecución, sigue pendiente de cumplimiento el extremo de la medida de</w:t>
      </w:r>
      <w:r>
        <w:rPr>
          <w:rFonts w:eastAsia="Cambria" w:cs="Times New Roman"/>
          <w:bCs/>
          <w:sz w:val="18"/>
          <w:szCs w:val="20"/>
        </w:rPr>
        <w:t xml:space="preserve"> </w:t>
      </w:r>
      <w:r w:rsidRPr="00D745B0">
        <w:rPr>
          <w:rFonts w:eastAsia="Cambria" w:cs="Times New Roman"/>
          <w:bCs/>
          <w:sz w:val="18"/>
          <w:szCs w:val="20"/>
        </w:rPr>
        <w:t>restitución relativo a que, al reintegrar a las víctimas, el Estado deberá hacerse cargo de las</w:t>
      </w:r>
      <w:r>
        <w:rPr>
          <w:rFonts w:eastAsia="Cambria" w:cs="Times New Roman"/>
          <w:bCs/>
          <w:sz w:val="18"/>
          <w:szCs w:val="20"/>
        </w:rPr>
        <w:t xml:space="preserve"> </w:t>
      </w:r>
      <w:r w:rsidRPr="00D745B0">
        <w:rPr>
          <w:rFonts w:eastAsia="Cambria" w:cs="Times New Roman"/>
          <w:bCs/>
          <w:sz w:val="18"/>
          <w:szCs w:val="20"/>
        </w:rPr>
        <w:t>cantidades relativas a las cargas correspondientes a las previsiones sociales de las víctimas</w:t>
      </w:r>
      <w:r>
        <w:rPr>
          <w:rFonts w:eastAsia="Cambria" w:cs="Times New Roman"/>
          <w:bCs/>
          <w:sz w:val="18"/>
          <w:szCs w:val="20"/>
        </w:rPr>
        <w:t xml:space="preserve"> </w:t>
      </w:r>
      <w:r w:rsidRPr="00D745B0">
        <w:rPr>
          <w:rFonts w:eastAsia="Cambria" w:cs="Times New Roman"/>
          <w:bCs/>
          <w:sz w:val="18"/>
          <w:szCs w:val="20"/>
        </w:rPr>
        <w:t>durante el tiempo que permanecieron fuera del Poder Judicial, según fue ordenado en el</w:t>
      </w:r>
      <w:r>
        <w:rPr>
          <w:rFonts w:eastAsia="Cambria" w:cs="Times New Roman"/>
          <w:bCs/>
          <w:sz w:val="18"/>
          <w:szCs w:val="20"/>
        </w:rPr>
        <w:t xml:space="preserve"> </w:t>
      </w:r>
      <w:r w:rsidRPr="00D745B0">
        <w:rPr>
          <w:rFonts w:eastAsia="Cambria" w:cs="Times New Roman"/>
          <w:bCs/>
          <w:sz w:val="18"/>
          <w:szCs w:val="20"/>
        </w:rPr>
        <w:t>punto resolutivo décimo sexto de la Sentencia.</w:t>
      </w:r>
    </w:p>
    <w:p w:rsidR="00367542" w:rsidRDefault="00367542" w:rsidP="00367542">
      <w:pPr>
        <w:tabs>
          <w:tab w:val="left" w:pos="720"/>
        </w:tabs>
        <w:ind w:left="567" w:right="567"/>
        <w:jc w:val="both"/>
        <w:rPr>
          <w:rFonts w:eastAsia="Cambria" w:cs="Times New Roman"/>
          <w:bCs/>
          <w:sz w:val="18"/>
          <w:szCs w:val="20"/>
        </w:rPr>
      </w:pPr>
    </w:p>
    <w:p w:rsidR="00367542" w:rsidRPr="00AA6B2F" w:rsidRDefault="00367542" w:rsidP="00367542">
      <w:pPr>
        <w:tabs>
          <w:tab w:val="left" w:pos="720"/>
        </w:tabs>
        <w:ind w:left="567" w:right="567"/>
        <w:jc w:val="both"/>
        <w:rPr>
          <w:rFonts w:eastAsia="Cambria" w:cs="Times New Roman"/>
          <w:bCs/>
          <w:sz w:val="18"/>
          <w:szCs w:val="20"/>
        </w:rPr>
      </w:pPr>
      <w:r>
        <w:rPr>
          <w:rFonts w:eastAsia="Cambria" w:cs="Times New Roman"/>
          <w:bCs/>
          <w:sz w:val="18"/>
          <w:szCs w:val="20"/>
        </w:rPr>
        <w:t xml:space="preserve">26. </w:t>
      </w:r>
      <w:r w:rsidRPr="00D745B0">
        <w:rPr>
          <w:rFonts w:eastAsia="Cambria" w:cs="Times New Roman"/>
          <w:bCs/>
          <w:sz w:val="18"/>
          <w:szCs w:val="20"/>
        </w:rPr>
        <w:t>Considerando lo previamente dicho, esta Corte determina que el Estado ha dado</w:t>
      </w:r>
      <w:r>
        <w:rPr>
          <w:rFonts w:eastAsia="Cambria" w:cs="Times New Roman"/>
          <w:bCs/>
          <w:sz w:val="18"/>
          <w:szCs w:val="20"/>
        </w:rPr>
        <w:t xml:space="preserve"> </w:t>
      </w:r>
      <w:r w:rsidRPr="00D745B0">
        <w:rPr>
          <w:rFonts w:eastAsia="Cambria" w:cs="Times New Roman"/>
          <w:bCs/>
          <w:sz w:val="18"/>
          <w:szCs w:val="20"/>
        </w:rPr>
        <w:t>cumplimiento parcial a la medida de restitución ordenada en el punto resolutivo décimo sexto</w:t>
      </w:r>
      <w:r>
        <w:rPr>
          <w:rFonts w:eastAsia="Cambria" w:cs="Times New Roman"/>
          <w:bCs/>
          <w:sz w:val="18"/>
          <w:szCs w:val="20"/>
        </w:rPr>
        <w:t xml:space="preserve"> </w:t>
      </w:r>
      <w:r w:rsidRPr="00D745B0">
        <w:rPr>
          <w:rFonts w:eastAsia="Cambria" w:cs="Times New Roman"/>
          <w:bCs/>
          <w:sz w:val="18"/>
          <w:szCs w:val="20"/>
        </w:rPr>
        <w:t xml:space="preserve">de la Sentencia, en tanto procedió a reincorporar a Adán Guillermo López </w:t>
      </w:r>
      <w:proofErr w:type="spellStart"/>
      <w:r w:rsidRPr="00D745B0">
        <w:rPr>
          <w:rFonts w:eastAsia="Cambria" w:cs="Times New Roman"/>
          <w:bCs/>
          <w:sz w:val="18"/>
          <w:szCs w:val="20"/>
        </w:rPr>
        <w:t>Lone</w:t>
      </w:r>
      <w:proofErr w:type="spellEnd"/>
      <w:r w:rsidRPr="00D745B0">
        <w:rPr>
          <w:rFonts w:eastAsia="Cambria" w:cs="Times New Roman"/>
          <w:bCs/>
          <w:sz w:val="18"/>
          <w:szCs w:val="20"/>
        </w:rPr>
        <w:t xml:space="preserve"> y </w:t>
      </w:r>
      <w:proofErr w:type="spellStart"/>
      <w:r w:rsidRPr="00D745B0">
        <w:rPr>
          <w:rFonts w:eastAsia="Cambria" w:cs="Times New Roman"/>
          <w:bCs/>
          <w:sz w:val="18"/>
          <w:szCs w:val="20"/>
        </w:rPr>
        <w:t>Tirza</w:t>
      </w:r>
      <w:proofErr w:type="spellEnd"/>
      <w:r w:rsidRPr="00D745B0">
        <w:rPr>
          <w:rFonts w:eastAsia="Cambria" w:cs="Times New Roman"/>
          <w:bCs/>
          <w:sz w:val="18"/>
          <w:szCs w:val="20"/>
        </w:rPr>
        <w:t xml:space="preserve"> del</w:t>
      </w:r>
      <w:r>
        <w:rPr>
          <w:rFonts w:eastAsia="Cambria" w:cs="Times New Roman"/>
          <w:bCs/>
          <w:sz w:val="18"/>
          <w:szCs w:val="20"/>
        </w:rPr>
        <w:t xml:space="preserve"> </w:t>
      </w:r>
      <w:r w:rsidRPr="00D745B0">
        <w:rPr>
          <w:rFonts w:eastAsia="Cambria" w:cs="Times New Roman"/>
          <w:bCs/>
          <w:sz w:val="18"/>
          <w:szCs w:val="20"/>
        </w:rPr>
        <w:t>Carmen Flores Lanza a cargos similares a los que desempeñaban al momento de los hechos,</w:t>
      </w:r>
      <w:r>
        <w:rPr>
          <w:rFonts w:eastAsia="Cambria" w:cs="Times New Roman"/>
          <w:bCs/>
          <w:sz w:val="18"/>
          <w:szCs w:val="20"/>
        </w:rPr>
        <w:t xml:space="preserve"> </w:t>
      </w:r>
      <w:r w:rsidRPr="00D745B0">
        <w:rPr>
          <w:rFonts w:eastAsia="Cambria" w:cs="Times New Roman"/>
          <w:bCs/>
          <w:sz w:val="18"/>
          <w:szCs w:val="20"/>
        </w:rPr>
        <w:t>con la misma remuneración, beneficios sociales y rango equiparables a los que les</w:t>
      </w:r>
      <w:r>
        <w:rPr>
          <w:rFonts w:eastAsia="Cambria" w:cs="Times New Roman"/>
          <w:bCs/>
          <w:sz w:val="18"/>
          <w:szCs w:val="20"/>
        </w:rPr>
        <w:t xml:space="preserve"> </w:t>
      </w:r>
      <w:r w:rsidRPr="00D745B0">
        <w:rPr>
          <w:rFonts w:eastAsia="Cambria" w:cs="Times New Roman"/>
          <w:bCs/>
          <w:sz w:val="18"/>
          <w:szCs w:val="20"/>
        </w:rPr>
        <w:t>correspondería a la fecha si hubiesen sido reincorporados en su momento, quedando</w:t>
      </w:r>
      <w:r>
        <w:rPr>
          <w:rFonts w:eastAsia="Cambria" w:cs="Times New Roman"/>
          <w:bCs/>
          <w:sz w:val="18"/>
          <w:szCs w:val="20"/>
        </w:rPr>
        <w:t xml:space="preserve"> </w:t>
      </w:r>
      <w:r w:rsidRPr="00D745B0">
        <w:rPr>
          <w:rFonts w:eastAsia="Cambria" w:cs="Times New Roman"/>
          <w:bCs/>
          <w:sz w:val="18"/>
          <w:szCs w:val="20"/>
        </w:rPr>
        <w:t>pendiente de cumplimiento el que al reintegrar a las víctimas, el Estado deberá hacerse</w:t>
      </w:r>
      <w:r>
        <w:rPr>
          <w:rFonts w:eastAsia="Cambria" w:cs="Times New Roman"/>
          <w:bCs/>
          <w:sz w:val="18"/>
          <w:szCs w:val="20"/>
        </w:rPr>
        <w:t xml:space="preserve"> </w:t>
      </w:r>
      <w:r w:rsidRPr="00D745B0">
        <w:rPr>
          <w:rFonts w:eastAsia="Cambria" w:cs="Times New Roman"/>
          <w:bCs/>
          <w:sz w:val="18"/>
          <w:szCs w:val="20"/>
        </w:rPr>
        <w:t>cargo de las cantidades relativas a las cargas correspondientes a las previsiones sociales de</w:t>
      </w:r>
      <w:r>
        <w:rPr>
          <w:rFonts w:eastAsia="Cambria" w:cs="Times New Roman"/>
          <w:bCs/>
          <w:sz w:val="18"/>
          <w:szCs w:val="20"/>
        </w:rPr>
        <w:t xml:space="preserve"> </w:t>
      </w:r>
      <w:r w:rsidRPr="00D745B0">
        <w:rPr>
          <w:rFonts w:eastAsia="Cambria" w:cs="Times New Roman"/>
          <w:bCs/>
          <w:sz w:val="18"/>
          <w:szCs w:val="20"/>
        </w:rPr>
        <w:t>éstas durante el tiempo que permanecieron fuera del Poder Judicial.</w:t>
      </w:r>
    </w:p>
    <w:p w:rsidR="006663F3" w:rsidRPr="006663F3" w:rsidRDefault="006663F3" w:rsidP="006663F3">
      <w:pPr>
        <w:jc w:val="both"/>
        <w:rPr>
          <w:sz w:val="20"/>
          <w:szCs w:val="20"/>
        </w:rPr>
      </w:pP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29" w:rsidRDefault="002F3A29" w:rsidP="009F7EF4">
      <w:r>
        <w:separator/>
      </w:r>
    </w:p>
  </w:endnote>
  <w:endnote w:type="continuationSeparator" w:id="0">
    <w:p w:rsidR="002F3A29" w:rsidRDefault="002F3A2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29" w:rsidRDefault="002F3A29" w:rsidP="009F7EF4">
      <w:r>
        <w:separator/>
      </w:r>
    </w:p>
  </w:footnote>
  <w:footnote w:type="continuationSeparator" w:id="0">
    <w:p w:rsidR="002F3A29" w:rsidRDefault="002F3A2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67542">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296F77"/>
    <w:rsid w:val="002B3295"/>
    <w:rsid w:val="002F3A29"/>
    <w:rsid w:val="00367542"/>
    <w:rsid w:val="003A7E5E"/>
    <w:rsid w:val="003C561A"/>
    <w:rsid w:val="00474D04"/>
    <w:rsid w:val="00476F6E"/>
    <w:rsid w:val="005C68A4"/>
    <w:rsid w:val="005D1A85"/>
    <w:rsid w:val="00617B3E"/>
    <w:rsid w:val="006663F3"/>
    <w:rsid w:val="006C38A6"/>
    <w:rsid w:val="006F2690"/>
    <w:rsid w:val="00716072"/>
    <w:rsid w:val="00774B82"/>
    <w:rsid w:val="008D43C3"/>
    <w:rsid w:val="00926FFB"/>
    <w:rsid w:val="009832C0"/>
    <w:rsid w:val="009D22BE"/>
    <w:rsid w:val="009F7EF4"/>
    <w:rsid w:val="00A07758"/>
    <w:rsid w:val="00AE0035"/>
    <w:rsid w:val="00B11B9B"/>
    <w:rsid w:val="00B32A37"/>
    <w:rsid w:val="00BA6BA9"/>
    <w:rsid w:val="00BC5824"/>
    <w:rsid w:val="00C4747D"/>
    <w:rsid w:val="00C77C0C"/>
    <w:rsid w:val="00C807CF"/>
    <w:rsid w:val="00D3440D"/>
    <w:rsid w:val="00D35D90"/>
    <w:rsid w:val="00D745B0"/>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06EE"/>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390</Words>
  <Characters>2149</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6</cp:revision>
  <cp:lastPrinted>2021-07-01T17:01:00Z</cp:lastPrinted>
  <dcterms:created xsi:type="dcterms:W3CDTF">2021-06-25T16:30:00Z</dcterms:created>
  <dcterms:modified xsi:type="dcterms:W3CDTF">2021-07-01T17:02:00Z</dcterms:modified>
</cp:coreProperties>
</file>