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F0" w:rsidRPr="000D31F0" w:rsidRDefault="000D31F0" w:rsidP="000D31F0">
      <w:pPr>
        <w:ind w:left="1418" w:hanging="1418"/>
        <w:jc w:val="center"/>
        <w:rPr>
          <w:rFonts w:cs="Verdana"/>
          <w:b/>
          <w:bCs/>
          <w:caps/>
          <w:snapToGrid w:val="0"/>
          <w:u w:val="single"/>
        </w:rPr>
      </w:pPr>
      <w:r w:rsidRPr="000D31F0">
        <w:rPr>
          <w:rFonts w:cs="Verdana"/>
          <w:b/>
          <w:bCs/>
          <w:snapToGrid w:val="0"/>
          <w:u w:val="single"/>
        </w:rPr>
        <w:t xml:space="preserve">Caso Luna López </w:t>
      </w:r>
      <w:r w:rsidRPr="000D31F0">
        <w:rPr>
          <w:rFonts w:cs="Verdana"/>
          <w:b/>
          <w:bCs/>
          <w:i/>
          <w:snapToGrid w:val="0"/>
          <w:u w:val="single"/>
        </w:rPr>
        <w:t>Vs.</w:t>
      </w:r>
      <w:r w:rsidRPr="000D31F0">
        <w:rPr>
          <w:rFonts w:cs="Verdana"/>
          <w:b/>
          <w:bCs/>
          <w:snapToGrid w:val="0"/>
          <w:u w:val="single"/>
        </w:rPr>
        <w:t xml:space="preserve"> Honduras: reparaciones </w:t>
      </w:r>
      <w:r w:rsidR="00674119">
        <w:rPr>
          <w:rFonts w:cs="Verdana"/>
          <w:b/>
          <w:bCs/>
          <w:snapToGrid w:val="0"/>
          <w:u w:val="single"/>
        </w:rPr>
        <w:t>declaradas cumplidas</w:t>
      </w:r>
    </w:p>
    <w:p w:rsidR="006E7F48" w:rsidRDefault="00E801B5"/>
    <w:p w:rsidR="000D31F0" w:rsidRDefault="000D31F0"/>
    <w:p w:rsidR="000D31F0" w:rsidRPr="00221B78" w:rsidRDefault="000D31F0" w:rsidP="000D31F0">
      <w:pPr>
        <w:pStyle w:val="Prrafodelista"/>
        <w:numPr>
          <w:ilvl w:val="0"/>
          <w:numId w:val="2"/>
        </w:numPr>
        <w:tabs>
          <w:tab w:val="left" w:pos="360"/>
        </w:tabs>
        <w:jc w:val="both"/>
        <w:rPr>
          <w:b/>
          <w:bCs/>
          <w:kern w:val="32"/>
          <w:lang w:val="es-CR"/>
        </w:rPr>
      </w:pPr>
      <w:r>
        <w:t>B</w:t>
      </w:r>
      <w:r w:rsidRPr="000D31F0">
        <w:t xml:space="preserve">rindar </w:t>
      </w:r>
      <w:r w:rsidRPr="000D31F0">
        <w:rPr>
          <w:rFonts w:eastAsia="Calibri" w:cs="Verdana"/>
        </w:rPr>
        <w:t xml:space="preserve">gratuitamente, a través de sus instituciones o personal de salud especializados, y de forma inmediata, adecuada y efectiva, el tratamiento psicológico o psiquiátrico necesario, si así lo requieren, a </w:t>
      </w:r>
      <w:r w:rsidRPr="000D31F0">
        <w:rPr>
          <w:rFonts w:cs="Courier New"/>
        </w:rPr>
        <w:t xml:space="preserve">Rosa Margarita Valle Hernández, Carlos Antonio Luna Valle, Lubina Mariana Luna Valle, César Augusto Luna Valle, Allan Miguel Luna Valle, José Fredy Luna Valle y Roger Herminio Luna Valle, </w:t>
      </w:r>
      <w:r w:rsidRPr="000D31F0">
        <w:rPr>
          <w:lang w:val="es-CR"/>
        </w:rPr>
        <w:t>en los términos del párrafo 224 de la presente Sentencia.</w:t>
      </w:r>
    </w:p>
    <w:p w:rsidR="00221B78" w:rsidRDefault="00221B78" w:rsidP="00221B78">
      <w:pPr>
        <w:tabs>
          <w:tab w:val="left" w:pos="360"/>
        </w:tabs>
        <w:jc w:val="both"/>
        <w:rPr>
          <w:b/>
          <w:bCs/>
          <w:kern w:val="32"/>
          <w:lang w:val="es-CR"/>
        </w:rPr>
      </w:pPr>
    </w:p>
    <w:p w:rsidR="00221B78" w:rsidRPr="00221B78" w:rsidRDefault="000D31F0" w:rsidP="000D31F0">
      <w:pPr>
        <w:pStyle w:val="Prrafodelista"/>
        <w:numPr>
          <w:ilvl w:val="0"/>
          <w:numId w:val="2"/>
        </w:numPr>
        <w:tabs>
          <w:tab w:val="left" w:pos="360"/>
        </w:tabs>
        <w:jc w:val="both"/>
        <w:rPr>
          <w:rStyle w:val="apple-style-span"/>
          <w:b/>
          <w:bCs/>
          <w:kern w:val="32"/>
          <w:lang w:val="es-CR"/>
        </w:rPr>
      </w:pPr>
      <w:r>
        <w:t>R</w:t>
      </w:r>
      <w:r w:rsidRPr="000D31F0">
        <w:t>ealizar</w:t>
      </w:r>
      <w:r w:rsidRPr="000D31F0">
        <w:rPr>
          <w:rFonts w:eastAsia="Calibri"/>
        </w:rPr>
        <w:t xml:space="preserve"> un acto público de reconocimiento de responsabilidad internacional en el cual se haga referencia a los hechos del caso y a la responsabilidad declarada en los términos de la presente Sentencia, </w:t>
      </w:r>
      <w:r w:rsidRPr="000D31F0">
        <w:rPr>
          <w:rStyle w:val="apple-style-span"/>
          <w:lang w:val="es-CR"/>
        </w:rPr>
        <w:t>en el plazo de seis meses contado a partir de su notificació</w:t>
      </w:r>
      <w:r w:rsidR="006F7AAA">
        <w:rPr>
          <w:rStyle w:val="apple-style-span"/>
          <w:lang w:val="es-CR"/>
        </w:rPr>
        <w:t>n, de acuerdo con el párrafo 227</w:t>
      </w:r>
      <w:r w:rsidRPr="000D31F0">
        <w:rPr>
          <w:rStyle w:val="apple-style-span"/>
          <w:lang w:val="es-CR"/>
        </w:rPr>
        <w:t xml:space="preserve"> de la Sentencia. </w:t>
      </w:r>
    </w:p>
    <w:p w:rsidR="00221B78" w:rsidRPr="00642785" w:rsidRDefault="00221B78" w:rsidP="00642785">
      <w:pPr>
        <w:tabs>
          <w:tab w:val="left" w:pos="360"/>
        </w:tabs>
        <w:rPr>
          <w:rFonts w:cs="Verdana"/>
          <w:lang w:val="es-CR"/>
        </w:rPr>
      </w:pPr>
    </w:p>
    <w:p w:rsidR="003935C8" w:rsidRPr="003935C8" w:rsidRDefault="003935C8" w:rsidP="003935C8">
      <w:pPr>
        <w:numPr>
          <w:ilvl w:val="0"/>
          <w:numId w:val="2"/>
        </w:numPr>
        <w:tabs>
          <w:tab w:val="left" w:pos="709"/>
        </w:tabs>
        <w:jc w:val="both"/>
        <w:rPr>
          <w:rStyle w:val="apple-style-span"/>
          <w:b/>
          <w:bCs/>
          <w:kern w:val="32"/>
          <w:szCs w:val="32"/>
          <w:lang w:val="es-CR"/>
        </w:rPr>
      </w:pPr>
      <w:r w:rsidRPr="003935C8">
        <w:rPr>
          <w:rStyle w:val="apple-style-span"/>
          <w:lang w:val="es-CR"/>
        </w:rPr>
        <w:t>El Estado debe realizar las publicaciones que se indican en el párrafo 230 del presente Fallo, en el plazo de seis meses contado a partir de la notificación de la Sentencia.</w:t>
      </w:r>
    </w:p>
    <w:p w:rsidR="003935C8" w:rsidRPr="003935C8" w:rsidRDefault="003935C8" w:rsidP="003935C8">
      <w:pPr>
        <w:pStyle w:val="Prrafodelista"/>
        <w:tabs>
          <w:tab w:val="left" w:pos="360"/>
        </w:tabs>
        <w:ind w:left="360"/>
        <w:jc w:val="both"/>
        <w:rPr>
          <w:b/>
          <w:bCs/>
          <w:kern w:val="32"/>
          <w:lang w:val="es-CR"/>
        </w:rPr>
      </w:pPr>
    </w:p>
    <w:p w:rsidR="000D31F0" w:rsidRPr="00642785" w:rsidRDefault="000D31F0" w:rsidP="000D31F0">
      <w:pPr>
        <w:pStyle w:val="Prrafodelista"/>
        <w:numPr>
          <w:ilvl w:val="0"/>
          <w:numId w:val="2"/>
        </w:numPr>
        <w:tabs>
          <w:tab w:val="left" w:pos="360"/>
        </w:tabs>
        <w:jc w:val="both"/>
        <w:rPr>
          <w:b/>
          <w:bCs/>
          <w:kern w:val="32"/>
          <w:lang w:val="es-CR"/>
        </w:rPr>
      </w:pPr>
      <w:r w:rsidRPr="000D31F0">
        <w:rPr>
          <w:rFonts w:cs="Verdana"/>
        </w:rPr>
        <w:t>Pagar las cantidades fijadas en los párrafos 250, 253, 254</w:t>
      </w:r>
      <w:r w:rsidR="00642785">
        <w:rPr>
          <w:rFonts w:cs="Verdana"/>
        </w:rPr>
        <w:t xml:space="preserve"> y</w:t>
      </w:r>
      <w:r w:rsidRPr="000D31F0">
        <w:rPr>
          <w:rFonts w:cs="Verdana"/>
        </w:rPr>
        <w:t xml:space="preserve"> 256 de la presente Sentencia por concepto</w:t>
      </w:r>
      <w:r w:rsidR="00642785">
        <w:rPr>
          <w:rFonts w:cs="Verdana"/>
        </w:rPr>
        <w:t xml:space="preserve"> de daño material e inmaterial </w:t>
      </w:r>
      <w:bookmarkStart w:id="0" w:name="_GoBack"/>
      <w:bookmarkEnd w:id="0"/>
      <w:r w:rsidRPr="000D31F0">
        <w:rPr>
          <w:rFonts w:cs="Verdana"/>
        </w:rPr>
        <w:t xml:space="preserve">en el plazo de un año, contado a partir de la notificación de la misma. </w:t>
      </w:r>
    </w:p>
    <w:p w:rsidR="00642785" w:rsidRPr="00642785" w:rsidRDefault="00642785" w:rsidP="00642785">
      <w:pPr>
        <w:pStyle w:val="Prrafodelista"/>
        <w:rPr>
          <w:rStyle w:val="apple-style-span"/>
          <w:b/>
          <w:bCs/>
          <w:kern w:val="32"/>
          <w:lang w:val="es-CR"/>
        </w:rPr>
      </w:pPr>
    </w:p>
    <w:p w:rsidR="00642785" w:rsidRPr="000D31F0" w:rsidRDefault="00642785" w:rsidP="00642785">
      <w:pPr>
        <w:pStyle w:val="Prrafodelista"/>
        <w:numPr>
          <w:ilvl w:val="0"/>
          <w:numId w:val="2"/>
        </w:numPr>
        <w:tabs>
          <w:tab w:val="left" w:pos="360"/>
        </w:tabs>
        <w:jc w:val="both"/>
        <w:rPr>
          <w:rStyle w:val="apple-style-span"/>
          <w:b/>
          <w:bCs/>
          <w:kern w:val="32"/>
          <w:lang w:val="es-CR"/>
        </w:rPr>
      </w:pPr>
      <w:r w:rsidRPr="000D31F0">
        <w:rPr>
          <w:rFonts w:cs="Verdana"/>
        </w:rPr>
        <w:t xml:space="preserve">Pagar las cantidades fijadas en </w:t>
      </w:r>
      <w:r>
        <w:rPr>
          <w:rFonts w:cs="Verdana"/>
        </w:rPr>
        <w:t>el párrafo</w:t>
      </w:r>
      <w:r w:rsidRPr="000D31F0">
        <w:rPr>
          <w:rFonts w:cs="Verdana"/>
        </w:rPr>
        <w:t xml:space="preserve"> 260 de la presente Sentencia por concepto de reintegro de costas y gastos en el plazo de un año, contado a partir de la notificación de la misma. </w:t>
      </w:r>
    </w:p>
    <w:p w:rsidR="00642785" w:rsidRPr="000D31F0" w:rsidRDefault="00642785" w:rsidP="00642785">
      <w:pPr>
        <w:pStyle w:val="Prrafodelista"/>
        <w:tabs>
          <w:tab w:val="left" w:pos="360"/>
        </w:tabs>
        <w:ind w:left="360"/>
        <w:jc w:val="both"/>
        <w:rPr>
          <w:rStyle w:val="apple-style-span"/>
          <w:b/>
          <w:bCs/>
          <w:kern w:val="32"/>
          <w:lang w:val="es-CR"/>
        </w:rPr>
      </w:pPr>
    </w:p>
    <w:p w:rsidR="000D31F0" w:rsidRPr="000D31F0" w:rsidRDefault="000D31F0">
      <w:pPr>
        <w:rPr>
          <w:lang w:val="es-CR"/>
        </w:rPr>
      </w:pPr>
    </w:p>
    <w:sectPr w:rsidR="000D31F0" w:rsidRPr="000D31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1B5" w:rsidRDefault="00E801B5" w:rsidP="000D31F0">
      <w:r>
        <w:separator/>
      </w:r>
    </w:p>
  </w:endnote>
  <w:endnote w:type="continuationSeparator" w:id="0">
    <w:p w:rsidR="00E801B5" w:rsidRDefault="00E801B5" w:rsidP="000D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F0" w:rsidRDefault="000D31F0" w:rsidP="000D31F0">
    <w:pPr>
      <w:jc w:val="both"/>
      <w:rPr>
        <w:bCs/>
        <w:sz w:val="16"/>
        <w:szCs w:val="16"/>
        <w:lang w:val="es-MX"/>
      </w:rPr>
    </w:pPr>
    <w:r>
      <w:rPr>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0D31F0" w:rsidRPr="000D31F0" w:rsidRDefault="000D31F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1B5" w:rsidRDefault="00E801B5" w:rsidP="000D31F0">
      <w:r>
        <w:separator/>
      </w:r>
    </w:p>
  </w:footnote>
  <w:footnote w:type="continuationSeparator" w:id="0">
    <w:p w:rsidR="00E801B5" w:rsidRDefault="00E801B5" w:rsidP="000D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288901"/>
      <w:docPartObj>
        <w:docPartGallery w:val="Page Numbers (Top of Page)"/>
        <w:docPartUnique/>
      </w:docPartObj>
    </w:sdtPr>
    <w:sdtEndPr>
      <w:rPr>
        <w:noProof/>
      </w:rPr>
    </w:sdtEndPr>
    <w:sdtContent>
      <w:p w:rsidR="000D31F0" w:rsidRDefault="000D31F0">
        <w:pPr>
          <w:pStyle w:val="Encabezado"/>
          <w:jc w:val="right"/>
        </w:pPr>
        <w:r>
          <w:fldChar w:fldCharType="begin"/>
        </w:r>
        <w:r>
          <w:instrText xml:space="preserve"> PAGE   \* MERGEFORMAT </w:instrText>
        </w:r>
        <w:r>
          <w:fldChar w:fldCharType="separate"/>
        </w:r>
        <w:r w:rsidR="00642785">
          <w:rPr>
            <w:noProof/>
          </w:rPr>
          <w:t>1</w:t>
        </w:r>
        <w:r>
          <w:rPr>
            <w:noProof/>
          </w:rPr>
          <w:fldChar w:fldCharType="end"/>
        </w:r>
      </w:p>
    </w:sdtContent>
  </w:sdt>
  <w:p w:rsidR="000D31F0" w:rsidRDefault="000D31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51D0"/>
    <w:multiLevelType w:val="hybridMultilevel"/>
    <w:tmpl w:val="9274023A"/>
    <w:lvl w:ilvl="0" w:tplc="0E4274E0">
      <w:start w:val="1"/>
      <w:numFmt w:val="decimal"/>
      <w:lvlText w:val="%1."/>
      <w:lvlJc w:val="left"/>
      <w:pPr>
        <w:ind w:left="0" w:firstLine="0"/>
      </w:pPr>
      <w:rPr>
        <w:rFonts w:hint="default"/>
        <w:b w:val="0"/>
        <w:i w:val="0"/>
        <w:strike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75CA1FB1"/>
    <w:multiLevelType w:val="hybridMultilevel"/>
    <w:tmpl w:val="7D08390E"/>
    <w:lvl w:ilvl="0" w:tplc="45C8706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F0"/>
    <w:rsid w:val="000D31F0"/>
    <w:rsid w:val="00221B78"/>
    <w:rsid w:val="003935C8"/>
    <w:rsid w:val="003A7E5E"/>
    <w:rsid w:val="00642785"/>
    <w:rsid w:val="00674119"/>
    <w:rsid w:val="006A37E1"/>
    <w:rsid w:val="006F7AAA"/>
    <w:rsid w:val="009832C0"/>
    <w:rsid w:val="00BB0726"/>
    <w:rsid w:val="00E801B5"/>
    <w:rsid w:val="00FD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B79F"/>
  <w15:docId w15:val="{FC9A928F-A5C5-421F-810A-6871FB7D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1F0"/>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31F0"/>
    <w:pPr>
      <w:tabs>
        <w:tab w:val="center" w:pos="4680"/>
        <w:tab w:val="right" w:pos="9360"/>
      </w:tabs>
    </w:pPr>
  </w:style>
  <w:style w:type="character" w:customStyle="1" w:styleId="EncabezadoCar">
    <w:name w:val="Encabezado Car"/>
    <w:basedOn w:val="Fuentedeprrafopredeter"/>
    <w:link w:val="Encabezado"/>
    <w:uiPriority w:val="99"/>
    <w:rsid w:val="000D31F0"/>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0D31F0"/>
    <w:pPr>
      <w:tabs>
        <w:tab w:val="center" w:pos="4680"/>
        <w:tab w:val="right" w:pos="9360"/>
      </w:tabs>
    </w:pPr>
  </w:style>
  <w:style w:type="character" w:customStyle="1" w:styleId="PiedepginaCar">
    <w:name w:val="Pie de página Car"/>
    <w:basedOn w:val="Fuentedeprrafopredeter"/>
    <w:link w:val="Piedepgina"/>
    <w:uiPriority w:val="99"/>
    <w:rsid w:val="000D31F0"/>
    <w:rPr>
      <w:rFonts w:ascii="Verdana" w:eastAsia="Times New Roman" w:hAnsi="Verdana" w:cs="Times New Roman"/>
      <w:sz w:val="20"/>
      <w:szCs w:val="20"/>
      <w:lang w:val="es-ES_tradnl"/>
    </w:rPr>
  </w:style>
  <w:style w:type="character" w:customStyle="1" w:styleId="Estilo1Car">
    <w:name w:val="Estilo1 Car"/>
    <w:link w:val="Estilo1"/>
    <w:locked/>
    <w:rsid w:val="000D31F0"/>
    <w:rPr>
      <w:rFonts w:ascii="Verdana" w:hAnsi="Verdana"/>
    </w:rPr>
  </w:style>
  <w:style w:type="paragraph" w:customStyle="1" w:styleId="Estilo1">
    <w:name w:val="Estilo1"/>
    <w:basedOn w:val="Normal"/>
    <w:link w:val="Estilo1Car"/>
    <w:qFormat/>
    <w:rsid w:val="000D31F0"/>
    <w:pPr>
      <w:tabs>
        <w:tab w:val="left" w:pos="567"/>
        <w:tab w:val="left" w:pos="1134"/>
        <w:tab w:val="num" w:pos="6042"/>
      </w:tabs>
      <w:spacing w:after="120"/>
      <w:jc w:val="both"/>
    </w:pPr>
    <w:rPr>
      <w:rFonts w:eastAsiaTheme="minorHAnsi" w:cstheme="minorBidi"/>
      <w:sz w:val="22"/>
      <w:szCs w:val="22"/>
      <w:lang w:val="en-US"/>
    </w:rPr>
  </w:style>
  <w:style w:type="character" w:customStyle="1" w:styleId="apple-style-span">
    <w:name w:val="apple-style-span"/>
    <w:basedOn w:val="Fuentedeprrafopredeter"/>
    <w:rsid w:val="000D31F0"/>
  </w:style>
  <w:style w:type="paragraph" w:styleId="Prrafodelista">
    <w:name w:val="List Paragraph"/>
    <w:basedOn w:val="Normal"/>
    <w:uiPriority w:val="34"/>
    <w:qFormat/>
    <w:rsid w:val="000D3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42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4</cp:revision>
  <dcterms:created xsi:type="dcterms:W3CDTF">2018-09-14T16:39:00Z</dcterms:created>
  <dcterms:modified xsi:type="dcterms:W3CDTF">2021-02-16T17:31:00Z</dcterms:modified>
</cp:coreProperties>
</file>