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3800" w14:textId="181B68B2" w:rsidR="00296F77" w:rsidRDefault="008E4B12" w:rsidP="008F25BA">
      <w:pPr>
        <w:tabs>
          <w:tab w:val="left" w:pos="709"/>
        </w:tabs>
        <w:ind w:right="99"/>
        <w:jc w:val="center"/>
      </w:pPr>
      <w:r w:rsidRPr="008E4B12">
        <w:rPr>
          <w:b/>
          <w:sz w:val="20"/>
          <w:u w:val="single"/>
        </w:rPr>
        <w:t xml:space="preserve">Caso </w:t>
      </w:r>
      <w:r w:rsidR="004C1255">
        <w:rPr>
          <w:b/>
          <w:sz w:val="20"/>
          <w:u w:val="single"/>
        </w:rPr>
        <w:t>Pacheco León y otros</w:t>
      </w:r>
      <w:r w:rsidR="008F25BA">
        <w:rPr>
          <w:b/>
          <w:sz w:val="20"/>
          <w:u w:val="single"/>
        </w:rPr>
        <w:t xml:space="preserve"> </w:t>
      </w:r>
      <w:r w:rsidR="008F25BA" w:rsidRPr="00D53284">
        <w:rPr>
          <w:b/>
          <w:i/>
          <w:iCs/>
          <w:sz w:val="20"/>
          <w:u w:val="single"/>
        </w:rPr>
        <w:t>Vs</w:t>
      </w:r>
      <w:r w:rsidR="008F25BA">
        <w:rPr>
          <w:b/>
          <w:sz w:val="20"/>
          <w:u w:val="single"/>
        </w:rPr>
        <w:t xml:space="preserve">. </w:t>
      </w:r>
      <w:r w:rsidR="00784021">
        <w:rPr>
          <w:b/>
          <w:sz w:val="20"/>
          <w:u w:val="single"/>
        </w:rPr>
        <w:t>Honduras</w:t>
      </w:r>
      <w:r w:rsidR="008F25BA">
        <w:rPr>
          <w:b/>
          <w:sz w:val="20"/>
          <w:u w:val="single"/>
        </w:rPr>
        <w:t>:</w:t>
      </w:r>
      <w:r w:rsidR="007B3563">
        <w:rPr>
          <w:b/>
          <w:sz w:val="20"/>
          <w:u w:val="single"/>
        </w:rPr>
        <w:t xml:space="preserve"> </w:t>
      </w:r>
      <w:r w:rsidR="00002FAC">
        <w:rPr>
          <w:b/>
          <w:sz w:val="20"/>
          <w:u w:val="single"/>
        </w:rPr>
        <w:t xml:space="preserve">reparaciones </w:t>
      </w:r>
      <w:r>
        <w:rPr>
          <w:b/>
          <w:sz w:val="20"/>
          <w:u w:val="single"/>
        </w:rPr>
        <w:t>declaradas cumplidas</w:t>
      </w:r>
    </w:p>
    <w:p w14:paraId="48FE21A7" w14:textId="77777777" w:rsidR="00002FAC" w:rsidRPr="004C1255" w:rsidRDefault="00002FAC" w:rsidP="00002FAC">
      <w:pPr>
        <w:tabs>
          <w:tab w:val="left" w:pos="720"/>
        </w:tabs>
        <w:jc w:val="both"/>
        <w:rPr>
          <w:rFonts w:eastAsia="Cambria" w:cs="Times New Roman"/>
          <w:bCs/>
          <w:sz w:val="20"/>
          <w:szCs w:val="20"/>
          <w:lang w:val="es-ES"/>
        </w:rPr>
      </w:pPr>
    </w:p>
    <w:p w14:paraId="585DF2B6" w14:textId="77777777" w:rsidR="00DC041F" w:rsidRPr="004C1255" w:rsidRDefault="00DC041F" w:rsidP="003E2FF4">
      <w:pPr>
        <w:jc w:val="both"/>
        <w:rPr>
          <w:sz w:val="20"/>
          <w:szCs w:val="20"/>
        </w:rPr>
      </w:pPr>
    </w:p>
    <w:p w14:paraId="2735114D" w14:textId="76D38C82" w:rsidR="008E4B12" w:rsidRPr="004C1255" w:rsidRDefault="007B3563" w:rsidP="008E4B12">
      <w:pPr>
        <w:jc w:val="both"/>
        <w:rPr>
          <w:sz w:val="20"/>
          <w:szCs w:val="20"/>
        </w:rPr>
      </w:pPr>
      <w:r w:rsidRPr="004C1255">
        <w:rPr>
          <w:sz w:val="20"/>
          <w:szCs w:val="20"/>
        </w:rPr>
        <w:t>1.</w:t>
      </w:r>
      <w:r w:rsidRPr="004C1255">
        <w:rPr>
          <w:sz w:val="20"/>
          <w:szCs w:val="20"/>
        </w:rPr>
        <w:tab/>
      </w:r>
      <w:r w:rsidR="004C1255" w:rsidRPr="004C1255">
        <w:rPr>
          <w:sz w:val="20"/>
          <w:szCs w:val="20"/>
        </w:rPr>
        <w:t>Realizar las publicaciones de la Sentencia y de su resumen oficial en el plazo de seis meses contado a partir de la notificación de la misma, en los términos del párrafo 201 de la Sentencia.</w:t>
      </w:r>
    </w:p>
    <w:p w14:paraId="39E58101" w14:textId="77777777" w:rsidR="008E4B12" w:rsidRPr="004C1255" w:rsidRDefault="008E4B12" w:rsidP="008E4B12">
      <w:pPr>
        <w:jc w:val="both"/>
        <w:rPr>
          <w:sz w:val="20"/>
          <w:szCs w:val="20"/>
        </w:rPr>
      </w:pPr>
    </w:p>
    <w:p w14:paraId="512335DC" w14:textId="53E5815F" w:rsidR="008E4B12" w:rsidRPr="004C1255" w:rsidRDefault="008E4B12" w:rsidP="004C1255">
      <w:pPr>
        <w:jc w:val="both"/>
        <w:rPr>
          <w:sz w:val="20"/>
          <w:szCs w:val="20"/>
        </w:rPr>
      </w:pPr>
      <w:r w:rsidRPr="004C1255">
        <w:rPr>
          <w:sz w:val="20"/>
          <w:szCs w:val="20"/>
        </w:rPr>
        <w:t>2.</w:t>
      </w:r>
      <w:r w:rsidRPr="004C1255">
        <w:rPr>
          <w:sz w:val="20"/>
          <w:szCs w:val="20"/>
        </w:rPr>
        <w:tab/>
      </w:r>
      <w:r w:rsidR="004C1255" w:rsidRPr="004C1255">
        <w:rPr>
          <w:sz w:val="20"/>
          <w:szCs w:val="20"/>
        </w:rPr>
        <w:t>Pagar las cantidades fijadas en los párrafos 218 y 219 de la Sentencia, por concepto de indemnizaciones por daños materiales e inmateriales.</w:t>
      </w:r>
    </w:p>
    <w:p w14:paraId="150B491B" w14:textId="6D003D8A" w:rsidR="004C1255" w:rsidRPr="004C1255" w:rsidRDefault="004C1255" w:rsidP="004C1255">
      <w:pPr>
        <w:jc w:val="both"/>
        <w:rPr>
          <w:sz w:val="20"/>
          <w:szCs w:val="20"/>
        </w:rPr>
      </w:pPr>
    </w:p>
    <w:p w14:paraId="26A0EE1C" w14:textId="77777777" w:rsidR="004C1255" w:rsidRPr="004C1255" w:rsidRDefault="004C1255" w:rsidP="004C1255">
      <w:pPr>
        <w:jc w:val="both"/>
        <w:rPr>
          <w:sz w:val="20"/>
          <w:szCs w:val="20"/>
        </w:rPr>
      </w:pPr>
      <w:r w:rsidRPr="004C1255">
        <w:rPr>
          <w:sz w:val="20"/>
          <w:szCs w:val="20"/>
        </w:rPr>
        <w:t>3.</w:t>
      </w:r>
      <w:r w:rsidRPr="004C1255">
        <w:rPr>
          <w:sz w:val="20"/>
          <w:szCs w:val="20"/>
        </w:rPr>
        <w:tab/>
        <w:t>Pagar las cantidades fijadas por el reintegro de costas y gastos en los términos de los párrafos 222 a 224 del Fallo.</w:t>
      </w:r>
    </w:p>
    <w:p w14:paraId="3D45C1D5" w14:textId="06DB5E6C" w:rsidR="004C1255" w:rsidRPr="008E4B12" w:rsidRDefault="004C1255" w:rsidP="004C1255">
      <w:pPr>
        <w:jc w:val="both"/>
        <w:rPr>
          <w:sz w:val="20"/>
          <w:szCs w:val="20"/>
        </w:rPr>
      </w:pPr>
    </w:p>
    <w:p w14:paraId="06B2AA53" w14:textId="3B8F5A6F" w:rsidR="00C53AF5" w:rsidRPr="00C53AF5" w:rsidRDefault="00C53AF5" w:rsidP="00C53AF5">
      <w:pPr>
        <w:ind w:left="720" w:right="720"/>
        <w:jc w:val="both"/>
        <w:rPr>
          <w:b/>
          <w:sz w:val="22"/>
          <w:szCs w:val="20"/>
        </w:rPr>
      </w:pPr>
    </w:p>
    <w:sectPr w:rsidR="00C53AF5" w:rsidRPr="00C53A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13F7" w14:textId="77777777" w:rsidR="005A57A9" w:rsidRDefault="005A57A9" w:rsidP="009F7EF4">
      <w:r>
        <w:separator/>
      </w:r>
    </w:p>
  </w:endnote>
  <w:endnote w:type="continuationSeparator" w:id="0">
    <w:p w14:paraId="7DEE6545" w14:textId="77777777" w:rsidR="005A57A9" w:rsidRDefault="005A57A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5A7A"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396C93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252B" w14:textId="77777777" w:rsidR="005A57A9" w:rsidRDefault="005A57A9" w:rsidP="009F7EF4">
      <w:r>
        <w:separator/>
      </w:r>
    </w:p>
  </w:footnote>
  <w:footnote w:type="continuationSeparator" w:id="0">
    <w:p w14:paraId="3CDA5029" w14:textId="77777777" w:rsidR="005A57A9" w:rsidRDefault="005A57A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46AF9E85"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93C64">
          <w:rPr>
            <w:noProof/>
            <w:sz w:val="20"/>
            <w:szCs w:val="20"/>
          </w:rPr>
          <w:t>1</w:t>
        </w:r>
        <w:r w:rsidRPr="00675FE7">
          <w:rPr>
            <w:noProof/>
            <w:sz w:val="20"/>
            <w:szCs w:val="20"/>
          </w:rPr>
          <w:fldChar w:fldCharType="end"/>
        </w:r>
      </w:p>
    </w:sdtContent>
  </w:sdt>
  <w:p w14:paraId="5A611EF2"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4658">
    <w:abstractNumId w:val="7"/>
  </w:num>
  <w:num w:numId="2" w16cid:durableId="1051273227">
    <w:abstractNumId w:val="2"/>
  </w:num>
  <w:num w:numId="3" w16cid:durableId="918712373">
    <w:abstractNumId w:val="5"/>
  </w:num>
  <w:num w:numId="4" w16cid:durableId="444689137">
    <w:abstractNumId w:val="0"/>
  </w:num>
  <w:num w:numId="5" w16cid:durableId="1501500822">
    <w:abstractNumId w:val="1"/>
  </w:num>
  <w:num w:numId="6" w16cid:durableId="687490043">
    <w:abstractNumId w:val="3"/>
  </w:num>
  <w:num w:numId="7" w16cid:durableId="1666081162">
    <w:abstractNumId w:val="4"/>
  </w:num>
  <w:num w:numId="8" w16cid:durableId="1471897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426AA"/>
    <w:rsid w:val="0017056A"/>
    <w:rsid w:val="001729AE"/>
    <w:rsid w:val="001F3394"/>
    <w:rsid w:val="00214AB7"/>
    <w:rsid w:val="00252DF1"/>
    <w:rsid w:val="00296F77"/>
    <w:rsid w:val="002B22AE"/>
    <w:rsid w:val="002B3295"/>
    <w:rsid w:val="002E376C"/>
    <w:rsid w:val="00345C02"/>
    <w:rsid w:val="003A7E5E"/>
    <w:rsid w:val="003C561A"/>
    <w:rsid w:val="003D205B"/>
    <w:rsid w:val="003E2FF4"/>
    <w:rsid w:val="00474D04"/>
    <w:rsid w:val="00476F6E"/>
    <w:rsid w:val="004C1255"/>
    <w:rsid w:val="005A203D"/>
    <w:rsid w:val="005A57A9"/>
    <w:rsid w:val="005D1A85"/>
    <w:rsid w:val="00617B3E"/>
    <w:rsid w:val="006A777A"/>
    <w:rsid w:val="006C38A6"/>
    <w:rsid w:val="006D416E"/>
    <w:rsid w:val="00784021"/>
    <w:rsid w:val="00792165"/>
    <w:rsid w:val="00793C64"/>
    <w:rsid w:val="007B3563"/>
    <w:rsid w:val="00834F1A"/>
    <w:rsid w:val="00876E46"/>
    <w:rsid w:val="008E4B12"/>
    <w:rsid w:val="008F25BA"/>
    <w:rsid w:val="00926FFB"/>
    <w:rsid w:val="009511E9"/>
    <w:rsid w:val="009709F7"/>
    <w:rsid w:val="009832C0"/>
    <w:rsid w:val="009D22BE"/>
    <w:rsid w:val="009D6A26"/>
    <w:rsid w:val="009F7EF4"/>
    <w:rsid w:val="00A1649A"/>
    <w:rsid w:val="00A65986"/>
    <w:rsid w:val="00AA6096"/>
    <w:rsid w:val="00AA6B2F"/>
    <w:rsid w:val="00AE0035"/>
    <w:rsid w:val="00B11B9B"/>
    <w:rsid w:val="00B32A37"/>
    <w:rsid w:val="00B33305"/>
    <w:rsid w:val="00BA6BA9"/>
    <w:rsid w:val="00BC5824"/>
    <w:rsid w:val="00C4747D"/>
    <w:rsid w:val="00C53AF5"/>
    <w:rsid w:val="00C66067"/>
    <w:rsid w:val="00C807CF"/>
    <w:rsid w:val="00D3440D"/>
    <w:rsid w:val="00D53284"/>
    <w:rsid w:val="00DC041F"/>
    <w:rsid w:val="00E42392"/>
    <w:rsid w:val="00E50670"/>
    <w:rsid w:val="00E85D9E"/>
    <w:rsid w:val="00E97670"/>
    <w:rsid w:val="00F16943"/>
    <w:rsid w:val="00F30FB4"/>
    <w:rsid w:val="00F50093"/>
    <w:rsid w:val="00F576C0"/>
    <w:rsid w:val="00F65A95"/>
    <w:rsid w:val="00FB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2F4C"/>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82</Words>
  <Characters>457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27</cp:revision>
  <cp:lastPrinted>2021-06-30T19:04:00Z</cp:lastPrinted>
  <dcterms:created xsi:type="dcterms:W3CDTF">2018-07-09T19:23:00Z</dcterms:created>
  <dcterms:modified xsi:type="dcterms:W3CDTF">2022-06-24T22:45:00Z</dcterms:modified>
</cp:coreProperties>
</file>