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EB1" w:rsidRPr="00034EB1" w:rsidRDefault="00034EB1" w:rsidP="00034EB1">
      <w:pPr>
        <w:jc w:val="center"/>
        <w:rPr>
          <w:rFonts w:cs="Verdana"/>
          <w:b/>
          <w:bCs/>
          <w:caps/>
          <w:snapToGrid w:val="0"/>
          <w:u w:val="single"/>
          <w:lang w:val="es-ES"/>
        </w:rPr>
      </w:pPr>
      <w:r w:rsidRPr="00034EB1">
        <w:rPr>
          <w:rFonts w:cs="Verdana"/>
          <w:b/>
          <w:bCs/>
          <w:snapToGrid w:val="0"/>
          <w:u w:val="single"/>
          <w:lang w:val="es-ES"/>
        </w:rPr>
        <w:t xml:space="preserve">Caso Pacheco Teruel y otros </w:t>
      </w:r>
      <w:r w:rsidRPr="00034EB1">
        <w:rPr>
          <w:rFonts w:cs="Verdana"/>
          <w:b/>
          <w:bCs/>
          <w:i/>
          <w:snapToGrid w:val="0"/>
          <w:u w:val="single"/>
          <w:lang w:val="es-ES"/>
        </w:rPr>
        <w:t>Vs.</w:t>
      </w:r>
      <w:r w:rsidRPr="00034EB1">
        <w:rPr>
          <w:rFonts w:cs="Verdana"/>
          <w:b/>
          <w:bCs/>
          <w:snapToGrid w:val="0"/>
          <w:u w:val="single"/>
          <w:lang w:val="es-ES"/>
        </w:rPr>
        <w:t xml:space="preserve"> Honduras: reparaciones pendientes de cumplimiento</w:t>
      </w:r>
    </w:p>
    <w:p w:rsidR="006E7F48" w:rsidRDefault="00034EB1" w:rsidP="00034EB1"/>
    <w:p w:rsidR="00034EB1" w:rsidRDefault="00034EB1" w:rsidP="00034EB1"/>
    <w:p w:rsidR="00034EB1" w:rsidRPr="00034EB1" w:rsidRDefault="00034EB1" w:rsidP="00034EB1">
      <w:pPr>
        <w:pStyle w:val="ListParagraph"/>
        <w:numPr>
          <w:ilvl w:val="0"/>
          <w:numId w:val="1"/>
        </w:numPr>
        <w:ind w:left="360" w:hanging="360"/>
        <w:jc w:val="both"/>
        <w:rPr>
          <w:sz w:val="20"/>
          <w:szCs w:val="20"/>
        </w:rPr>
      </w:pPr>
      <w:r w:rsidRPr="00034EB1">
        <w:rPr>
          <w:sz w:val="20"/>
          <w:szCs w:val="20"/>
        </w:rPr>
        <w:t>R</w:t>
      </w:r>
      <w:r w:rsidRPr="00034EB1">
        <w:rPr>
          <w:sz w:val="20"/>
          <w:szCs w:val="20"/>
          <w:lang w:val="es-ES"/>
        </w:rPr>
        <w:t>ealizar las convocatorias descritas en el párrafo 88,</w:t>
      </w:r>
      <w:r w:rsidRPr="00034EB1">
        <w:rPr>
          <w:rStyle w:val="apple-style-span"/>
          <w:sz w:val="20"/>
          <w:szCs w:val="20"/>
          <w:lang w:val="es-ES"/>
        </w:rPr>
        <w:t xml:space="preserve"> </w:t>
      </w:r>
      <w:r w:rsidRPr="00034EB1">
        <w:rPr>
          <w:sz w:val="20"/>
          <w:szCs w:val="20"/>
          <w:lang w:val="es-ES"/>
        </w:rPr>
        <w:t xml:space="preserve">en coordinación con los representantes, </w:t>
      </w:r>
      <w:r w:rsidRPr="00034EB1">
        <w:rPr>
          <w:rStyle w:val="apple-style-span"/>
          <w:sz w:val="20"/>
          <w:szCs w:val="20"/>
          <w:lang w:val="es-ES"/>
        </w:rPr>
        <w:t xml:space="preserve">a fin de considerar los beneficiarios de las medidas de reparación dispuestas en el acuerdo de solución amistosa, en los términos dispuestos en los párrafos 85 a 90 y 118 de la </w:t>
      </w:r>
      <w:r w:rsidRPr="00034EB1">
        <w:rPr>
          <w:sz w:val="20"/>
          <w:szCs w:val="20"/>
          <w:lang w:val="es-ES"/>
        </w:rPr>
        <w:t>presente Sentencia.</w:t>
      </w:r>
    </w:p>
    <w:p w:rsidR="00034EB1" w:rsidRPr="00034EB1" w:rsidRDefault="00034EB1" w:rsidP="00034EB1">
      <w:pPr>
        <w:pStyle w:val="ListParagraph"/>
        <w:ind w:left="360" w:hanging="360"/>
        <w:jc w:val="both"/>
        <w:rPr>
          <w:sz w:val="20"/>
          <w:szCs w:val="20"/>
        </w:rPr>
      </w:pPr>
    </w:p>
    <w:p w:rsidR="00034EB1" w:rsidRPr="00034EB1" w:rsidRDefault="00034EB1" w:rsidP="00034EB1">
      <w:pPr>
        <w:pStyle w:val="ListParagraph"/>
        <w:numPr>
          <w:ilvl w:val="0"/>
          <w:numId w:val="1"/>
        </w:numPr>
        <w:ind w:left="360" w:hanging="360"/>
        <w:jc w:val="both"/>
        <w:rPr>
          <w:sz w:val="20"/>
          <w:szCs w:val="20"/>
        </w:rPr>
      </w:pPr>
      <w:r w:rsidRPr="00034EB1">
        <w:rPr>
          <w:sz w:val="20"/>
          <w:szCs w:val="20"/>
          <w:lang w:val="es-ES"/>
        </w:rPr>
        <w:t>A</w:t>
      </w:r>
      <w:r w:rsidRPr="00034EB1">
        <w:rPr>
          <w:sz w:val="20"/>
          <w:szCs w:val="20"/>
          <w:lang w:val="es-ES"/>
        </w:rPr>
        <w:t xml:space="preserve">doptar, dentro de los plazos acordados, </w:t>
      </w:r>
      <w:r w:rsidRPr="00034EB1">
        <w:rPr>
          <w:rFonts w:cs="Verdana"/>
          <w:sz w:val="20"/>
          <w:szCs w:val="20"/>
          <w:lang w:val="es-ES"/>
        </w:rPr>
        <w:t xml:space="preserve">las medidas legislativas, administrativas y de cualquier otra índole necesarias para mejorar sustancialmente las condiciones de los centros penitenciarios señalados en el párrafo 95 de la Sentencia, adecuándolas a </w:t>
      </w:r>
      <w:r w:rsidRPr="00034EB1">
        <w:rPr>
          <w:sz w:val="20"/>
          <w:szCs w:val="20"/>
          <w:lang w:val="es-ES"/>
        </w:rPr>
        <w:t>los estándares internacionales, a fin de prevenir principalmente incendios y otras situaciones críticas, así como evitar la sobrepoblación y el hacinamiento, en los términos de los párrafos 95 y 96 del presente Fallo.</w:t>
      </w:r>
    </w:p>
    <w:p w:rsidR="00034EB1" w:rsidRPr="00034EB1" w:rsidRDefault="00034EB1" w:rsidP="00034EB1">
      <w:pPr>
        <w:pStyle w:val="ListParagraph"/>
        <w:ind w:left="360" w:hanging="360"/>
        <w:rPr>
          <w:rStyle w:val="apple-style-span"/>
          <w:sz w:val="20"/>
          <w:szCs w:val="20"/>
          <w:lang w:val="es-CR"/>
        </w:rPr>
      </w:pPr>
    </w:p>
    <w:p w:rsidR="00034EB1" w:rsidRPr="00034EB1" w:rsidRDefault="00034EB1" w:rsidP="00034EB1">
      <w:pPr>
        <w:pStyle w:val="ListParagraph"/>
        <w:numPr>
          <w:ilvl w:val="0"/>
          <w:numId w:val="1"/>
        </w:numPr>
        <w:ind w:left="360" w:hanging="360"/>
        <w:jc w:val="both"/>
        <w:rPr>
          <w:rStyle w:val="apple-style-span"/>
          <w:sz w:val="20"/>
          <w:szCs w:val="20"/>
        </w:rPr>
      </w:pPr>
      <w:r w:rsidRPr="00034EB1">
        <w:rPr>
          <w:rStyle w:val="apple-style-span"/>
          <w:sz w:val="20"/>
          <w:szCs w:val="20"/>
          <w:lang w:val="es-CR"/>
        </w:rPr>
        <w:t>I</w:t>
      </w:r>
      <w:r w:rsidRPr="00034EB1">
        <w:rPr>
          <w:sz w:val="20"/>
          <w:szCs w:val="20"/>
          <w:lang w:val="es-ES"/>
        </w:rPr>
        <w:t>mplementar</w:t>
      </w:r>
      <w:bookmarkStart w:id="0" w:name="_GoBack"/>
      <w:bookmarkEnd w:id="0"/>
      <w:r w:rsidRPr="00034EB1">
        <w:rPr>
          <w:sz w:val="20"/>
          <w:szCs w:val="20"/>
          <w:lang w:val="es-ES"/>
        </w:rPr>
        <w:t xml:space="preserve"> medidas de carácter inmediato tendientes a garantizar los derechos fundamentales de los reclusos, así como medidas de prevención de siniestros en los diferentes centros señalados en el acuerdo. </w:t>
      </w:r>
      <w:r w:rsidRPr="00034EB1">
        <w:rPr>
          <w:rStyle w:val="apple-style-span"/>
          <w:sz w:val="20"/>
          <w:szCs w:val="20"/>
          <w:lang w:val="es-CR"/>
        </w:rPr>
        <w:t xml:space="preserve">En el plazo de seis meses contados a partir de la notificación de la presente sentencia, </w:t>
      </w:r>
      <w:r w:rsidRPr="00034EB1">
        <w:rPr>
          <w:sz w:val="20"/>
          <w:szCs w:val="20"/>
          <w:lang w:val="es-CR"/>
        </w:rPr>
        <w:t xml:space="preserve">deberá remitir un informe sobre las medidas urgentes adoptadas para garantizar los derechos fundamentales de los reclusos, así como medidas de prevención de siniestros en los diferentes centros señalados en el acuerdo de solución amistosa, </w:t>
      </w:r>
      <w:r w:rsidRPr="00034EB1">
        <w:rPr>
          <w:sz w:val="20"/>
          <w:szCs w:val="20"/>
          <w:lang w:val="es-ES"/>
        </w:rPr>
        <w:t>en los términos del párrafo 97 de la Sentencia</w:t>
      </w:r>
      <w:r w:rsidRPr="00034EB1">
        <w:rPr>
          <w:rStyle w:val="apple-style-span"/>
          <w:sz w:val="20"/>
          <w:szCs w:val="20"/>
          <w:lang w:val="es-CR"/>
        </w:rPr>
        <w:t xml:space="preserve">. </w:t>
      </w:r>
    </w:p>
    <w:p w:rsidR="00034EB1" w:rsidRPr="00034EB1" w:rsidRDefault="00034EB1" w:rsidP="00034EB1">
      <w:pPr>
        <w:pStyle w:val="ListParagraph"/>
        <w:ind w:left="360" w:hanging="360"/>
        <w:rPr>
          <w:sz w:val="20"/>
          <w:szCs w:val="20"/>
          <w:lang w:val="es-CR"/>
        </w:rPr>
      </w:pPr>
    </w:p>
    <w:p w:rsidR="00034EB1" w:rsidRPr="00034EB1" w:rsidRDefault="00034EB1" w:rsidP="00034EB1">
      <w:pPr>
        <w:pStyle w:val="ListParagraph"/>
        <w:numPr>
          <w:ilvl w:val="0"/>
          <w:numId w:val="1"/>
        </w:numPr>
        <w:ind w:left="360" w:hanging="360"/>
        <w:jc w:val="both"/>
        <w:rPr>
          <w:sz w:val="20"/>
          <w:szCs w:val="20"/>
        </w:rPr>
      </w:pPr>
      <w:r w:rsidRPr="00034EB1">
        <w:rPr>
          <w:sz w:val="20"/>
          <w:szCs w:val="20"/>
          <w:lang w:val="es-CR"/>
        </w:rPr>
        <w:t>A</w:t>
      </w:r>
      <w:r w:rsidRPr="00034EB1">
        <w:rPr>
          <w:sz w:val="20"/>
          <w:szCs w:val="20"/>
          <w:lang w:val="es-CR"/>
        </w:rPr>
        <w:t xml:space="preserve">doptar las medidas legislativas dispuestas en el acuerdo de solución amistosa, y homologadas por la Corte en la Sentencia, en los términos de los párrafos 100 a 112 de la misma. </w:t>
      </w:r>
    </w:p>
    <w:p w:rsidR="00034EB1" w:rsidRPr="00034EB1" w:rsidRDefault="00034EB1" w:rsidP="00034EB1">
      <w:pPr>
        <w:pStyle w:val="ListParagraph"/>
        <w:ind w:left="360" w:hanging="360"/>
        <w:rPr>
          <w:sz w:val="20"/>
          <w:szCs w:val="20"/>
        </w:rPr>
      </w:pPr>
    </w:p>
    <w:p w:rsidR="00034EB1" w:rsidRPr="00034EB1" w:rsidRDefault="00034EB1" w:rsidP="00034EB1">
      <w:pPr>
        <w:pStyle w:val="ListParagraph"/>
        <w:numPr>
          <w:ilvl w:val="0"/>
          <w:numId w:val="1"/>
        </w:numPr>
        <w:ind w:left="360" w:hanging="360"/>
        <w:jc w:val="both"/>
        <w:rPr>
          <w:sz w:val="20"/>
          <w:szCs w:val="20"/>
        </w:rPr>
      </w:pPr>
      <w:r w:rsidRPr="00034EB1">
        <w:rPr>
          <w:sz w:val="20"/>
          <w:szCs w:val="20"/>
        </w:rPr>
        <w:t>I</w:t>
      </w:r>
      <w:r w:rsidRPr="00034EB1">
        <w:rPr>
          <w:sz w:val="20"/>
          <w:szCs w:val="20"/>
        </w:rPr>
        <w:t xml:space="preserve">mplementar programas de capacitación al personal civil y policial de los centros penales, y planes de emergencia y evacuación en caso de incendios u otras catástrofes, en los términos de los párrafos 113 y 114 de esta Sentencia.   </w:t>
      </w:r>
    </w:p>
    <w:p w:rsidR="00034EB1" w:rsidRPr="00034EB1" w:rsidRDefault="00034EB1" w:rsidP="00034EB1">
      <w:pPr>
        <w:pStyle w:val="ListParagraph"/>
        <w:ind w:left="360" w:hanging="360"/>
        <w:rPr>
          <w:sz w:val="20"/>
          <w:szCs w:val="20"/>
        </w:rPr>
      </w:pPr>
    </w:p>
    <w:p w:rsidR="00034EB1" w:rsidRPr="00034EB1" w:rsidRDefault="00034EB1" w:rsidP="00034EB1">
      <w:pPr>
        <w:pStyle w:val="ListParagraph"/>
        <w:numPr>
          <w:ilvl w:val="0"/>
          <w:numId w:val="1"/>
        </w:numPr>
        <w:ind w:left="360" w:hanging="360"/>
        <w:jc w:val="both"/>
        <w:rPr>
          <w:sz w:val="20"/>
          <w:szCs w:val="20"/>
        </w:rPr>
      </w:pPr>
      <w:r w:rsidRPr="00034EB1">
        <w:rPr>
          <w:sz w:val="20"/>
          <w:szCs w:val="20"/>
        </w:rPr>
        <w:t>B</w:t>
      </w:r>
      <w:r w:rsidRPr="00034EB1">
        <w:rPr>
          <w:sz w:val="20"/>
          <w:szCs w:val="20"/>
        </w:rPr>
        <w:t xml:space="preserve">rindar atención médica y psicológica a los familiares de las víctimas </w:t>
      </w:r>
      <w:r w:rsidRPr="00034EB1">
        <w:rPr>
          <w:rFonts w:eastAsia="Times"/>
          <w:sz w:val="20"/>
          <w:szCs w:val="20"/>
          <w:lang w:val="es-CR"/>
        </w:rPr>
        <w:t>que así lo soliciten</w:t>
      </w:r>
      <w:r w:rsidRPr="00034EB1">
        <w:rPr>
          <w:sz w:val="20"/>
          <w:szCs w:val="20"/>
        </w:rPr>
        <w:t xml:space="preserve">, en los términos de los párrafos 115 a 118 del Fallo. </w:t>
      </w:r>
    </w:p>
    <w:p w:rsidR="00034EB1" w:rsidRPr="00034EB1" w:rsidRDefault="00034EB1" w:rsidP="00034EB1">
      <w:pPr>
        <w:pStyle w:val="ListParagraph"/>
        <w:ind w:left="360" w:hanging="360"/>
        <w:rPr>
          <w:sz w:val="20"/>
          <w:szCs w:val="20"/>
          <w:lang w:val="es-CR"/>
        </w:rPr>
      </w:pPr>
    </w:p>
    <w:p w:rsidR="00034EB1" w:rsidRPr="00034EB1" w:rsidRDefault="00034EB1" w:rsidP="00034EB1">
      <w:pPr>
        <w:pStyle w:val="ListParagraph"/>
        <w:numPr>
          <w:ilvl w:val="0"/>
          <w:numId w:val="1"/>
        </w:numPr>
        <w:ind w:left="360" w:hanging="360"/>
        <w:jc w:val="both"/>
        <w:rPr>
          <w:sz w:val="20"/>
          <w:szCs w:val="20"/>
        </w:rPr>
      </w:pPr>
      <w:r w:rsidRPr="00034EB1">
        <w:rPr>
          <w:sz w:val="20"/>
          <w:szCs w:val="20"/>
          <w:lang w:val="es-CR"/>
        </w:rPr>
        <w:t>R</w:t>
      </w:r>
      <w:r w:rsidRPr="00034EB1">
        <w:rPr>
          <w:sz w:val="20"/>
          <w:szCs w:val="20"/>
          <w:lang w:val="es-CR"/>
        </w:rPr>
        <w:t>ealizar las publicaciones indicadas en el párrafo 120 de la presente Sentencia, en el plazo de seis meses contado a partir de la notificación de la misma</w:t>
      </w:r>
      <w:r w:rsidRPr="00034EB1">
        <w:rPr>
          <w:sz w:val="20"/>
          <w:szCs w:val="20"/>
        </w:rPr>
        <w:t>.</w:t>
      </w:r>
    </w:p>
    <w:p w:rsidR="00034EB1" w:rsidRPr="00034EB1" w:rsidRDefault="00034EB1" w:rsidP="00034EB1">
      <w:pPr>
        <w:pStyle w:val="ListParagraph"/>
        <w:ind w:left="360" w:hanging="360"/>
        <w:rPr>
          <w:sz w:val="20"/>
          <w:szCs w:val="20"/>
        </w:rPr>
      </w:pPr>
    </w:p>
    <w:p w:rsidR="00034EB1" w:rsidRPr="00034EB1" w:rsidRDefault="00034EB1" w:rsidP="00034EB1">
      <w:pPr>
        <w:pStyle w:val="ListParagraph"/>
        <w:numPr>
          <w:ilvl w:val="0"/>
          <w:numId w:val="1"/>
        </w:numPr>
        <w:ind w:left="360" w:hanging="360"/>
        <w:jc w:val="both"/>
        <w:rPr>
          <w:sz w:val="20"/>
          <w:szCs w:val="20"/>
        </w:rPr>
      </w:pPr>
      <w:r w:rsidRPr="00034EB1">
        <w:rPr>
          <w:sz w:val="20"/>
          <w:szCs w:val="20"/>
        </w:rPr>
        <w:t>R</w:t>
      </w:r>
      <w:r w:rsidRPr="00034EB1">
        <w:rPr>
          <w:sz w:val="20"/>
          <w:szCs w:val="20"/>
        </w:rPr>
        <w:t xml:space="preserve">ealizar un acto público de reconocimiento de responsabilidad internacional, de conformidad con lo establecido en los párrafos 121 y 122 de la presente Sentencia. </w:t>
      </w:r>
    </w:p>
    <w:p w:rsidR="00034EB1" w:rsidRPr="00034EB1" w:rsidRDefault="00034EB1" w:rsidP="00034EB1">
      <w:pPr>
        <w:pStyle w:val="ListParagraph"/>
        <w:ind w:left="360" w:hanging="360"/>
        <w:rPr>
          <w:sz w:val="20"/>
          <w:szCs w:val="20"/>
        </w:rPr>
      </w:pPr>
    </w:p>
    <w:p w:rsidR="00034EB1" w:rsidRPr="00034EB1" w:rsidRDefault="00034EB1" w:rsidP="00034EB1">
      <w:pPr>
        <w:pStyle w:val="ListParagraph"/>
        <w:numPr>
          <w:ilvl w:val="0"/>
          <w:numId w:val="1"/>
        </w:numPr>
        <w:ind w:left="360" w:hanging="360"/>
        <w:jc w:val="both"/>
        <w:rPr>
          <w:sz w:val="20"/>
          <w:szCs w:val="20"/>
        </w:rPr>
      </w:pPr>
      <w:r w:rsidRPr="00034EB1">
        <w:rPr>
          <w:sz w:val="20"/>
          <w:szCs w:val="20"/>
        </w:rPr>
        <w:t>I</w:t>
      </w:r>
      <w:r w:rsidRPr="00034EB1">
        <w:rPr>
          <w:sz w:val="20"/>
          <w:szCs w:val="20"/>
        </w:rPr>
        <w:t xml:space="preserve">nvestigar los hechos del presente caso a fin de esclarecerlos, determinar la verdad y las correspondientes responsabilidades penales, administrativas y/o disciplinarias, y aplicar efectivamente las sanciones y consecuencias que la ley prevea, en los términos de los párrafos 124 a 130 del presente Fallo. </w:t>
      </w:r>
    </w:p>
    <w:p w:rsidR="00034EB1" w:rsidRPr="00034EB1" w:rsidRDefault="00034EB1" w:rsidP="00034EB1">
      <w:pPr>
        <w:pStyle w:val="ListParagraph"/>
        <w:ind w:left="360" w:hanging="360"/>
        <w:rPr>
          <w:rFonts w:eastAsia="Calibri" w:cs="Verdana"/>
          <w:sz w:val="20"/>
          <w:szCs w:val="20"/>
          <w:lang w:val="es-BO"/>
        </w:rPr>
      </w:pPr>
    </w:p>
    <w:p w:rsidR="00034EB1" w:rsidRPr="00034EB1" w:rsidRDefault="00034EB1" w:rsidP="00034EB1">
      <w:pPr>
        <w:pStyle w:val="ListParagraph"/>
        <w:numPr>
          <w:ilvl w:val="0"/>
          <w:numId w:val="1"/>
        </w:numPr>
        <w:ind w:left="360" w:hanging="360"/>
        <w:jc w:val="both"/>
        <w:rPr>
          <w:rStyle w:val="apple-style-span"/>
          <w:sz w:val="20"/>
          <w:szCs w:val="20"/>
        </w:rPr>
      </w:pPr>
      <w:r w:rsidRPr="00034EB1">
        <w:rPr>
          <w:rFonts w:eastAsia="Calibri" w:cs="Verdana"/>
          <w:sz w:val="20"/>
          <w:szCs w:val="20"/>
          <w:lang w:val="es-BO"/>
        </w:rPr>
        <w:t>P</w:t>
      </w:r>
      <w:r w:rsidRPr="00034EB1">
        <w:rPr>
          <w:rFonts w:eastAsia="Calibri" w:cs="Verdana"/>
          <w:sz w:val="20"/>
          <w:szCs w:val="20"/>
          <w:lang w:val="es-BO"/>
        </w:rPr>
        <w:t>agar las cantidades establecidas en el acuerdo, por concepto de indemnización por daño material e inmaterial y por el reintegro de costas y gastos, según corresponda, en los términos de los párrafos 131 a 142 del Fallo, dentro del plazo de</w:t>
      </w:r>
      <w:r w:rsidRPr="00034EB1">
        <w:rPr>
          <w:rFonts w:eastAsia="Calibri" w:cs="Verdana"/>
          <w:sz w:val="20"/>
          <w:szCs w:val="20"/>
          <w:u w:val="single"/>
          <w:lang w:val="es-BO"/>
        </w:rPr>
        <w:t xml:space="preserve"> </w:t>
      </w:r>
      <w:r w:rsidRPr="00034EB1">
        <w:rPr>
          <w:rFonts w:eastAsia="Calibri" w:cs="Verdana"/>
          <w:sz w:val="20"/>
          <w:szCs w:val="20"/>
          <w:lang w:val="es-BO"/>
        </w:rPr>
        <w:t xml:space="preserve">tres años </w:t>
      </w:r>
      <w:r w:rsidRPr="00034EB1">
        <w:rPr>
          <w:sz w:val="20"/>
          <w:szCs w:val="20"/>
          <w:lang w:val="es-CR"/>
        </w:rPr>
        <w:t>contado a partir de la notificación de la misma.</w:t>
      </w:r>
    </w:p>
    <w:p w:rsidR="00034EB1" w:rsidRDefault="00034EB1"/>
    <w:sectPr w:rsidR="00034EB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EB1" w:rsidRDefault="00034EB1" w:rsidP="00034EB1">
      <w:r>
        <w:separator/>
      </w:r>
    </w:p>
  </w:endnote>
  <w:endnote w:type="continuationSeparator" w:id="0">
    <w:p w:rsidR="00034EB1" w:rsidRDefault="00034EB1" w:rsidP="0003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EB1" w:rsidRDefault="00034EB1" w:rsidP="00034EB1">
    <w:pPr>
      <w:jc w:val="both"/>
      <w:rPr>
        <w:bCs/>
        <w:sz w:val="16"/>
        <w:szCs w:val="16"/>
        <w:lang w:val="es-MX"/>
      </w:rPr>
    </w:pPr>
    <w:r>
      <w:rPr>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034EB1" w:rsidRPr="00034EB1" w:rsidRDefault="00034EB1">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EB1" w:rsidRDefault="00034EB1" w:rsidP="00034EB1">
      <w:r>
        <w:separator/>
      </w:r>
    </w:p>
  </w:footnote>
  <w:footnote w:type="continuationSeparator" w:id="0">
    <w:p w:rsidR="00034EB1" w:rsidRDefault="00034EB1" w:rsidP="00034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573964"/>
      <w:docPartObj>
        <w:docPartGallery w:val="Page Numbers (Top of Page)"/>
        <w:docPartUnique/>
      </w:docPartObj>
    </w:sdtPr>
    <w:sdtEndPr>
      <w:rPr>
        <w:noProof/>
      </w:rPr>
    </w:sdtEndPr>
    <w:sdtContent>
      <w:p w:rsidR="00034EB1" w:rsidRDefault="00034EB1">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034EB1" w:rsidRDefault="00034E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8481C"/>
    <w:multiLevelType w:val="hybridMultilevel"/>
    <w:tmpl w:val="52D8B80E"/>
    <w:lvl w:ilvl="0" w:tplc="2E225996">
      <w:start w:val="1"/>
      <w:numFmt w:val="decimal"/>
      <w:lvlText w:val="%1."/>
      <w:lvlJc w:val="left"/>
      <w:pPr>
        <w:ind w:left="1080" w:hanging="720"/>
      </w:pPr>
    </w:lvl>
    <w:lvl w:ilvl="1" w:tplc="0C0A0003">
      <w:start w:val="1"/>
      <w:numFmt w:val="lowerLetter"/>
      <w:lvlText w:val="%2."/>
      <w:lvlJc w:val="left"/>
      <w:pPr>
        <w:ind w:left="1440" w:hanging="360"/>
      </w:pPr>
    </w:lvl>
    <w:lvl w:ilvl="2" w:tplc="0C0A0005">
      <w:start w:val="1"/>
      <w:numFmt w:val="lowerRoman"/>
      <w:lvlText w:val="%3."/>
      <w:lvlJc w:val="right"/>
      <w:pPr>
        <w:ind w:left="2160" w:hanging="180"/>
      </w:pPr>
    </w:lvl>
    <w:lvl w:ilvl="3" w:tplc="0C0A0001">
      <w:start w:val="1"/>
      <w:numFmt w:val="decimal"/>
      <w:lvlText w:val="%4."/>
      <w:lvlJc w:val="left"/>
      <w:pPr>
        <w:ind w:left="2880" w:hanging="360"/>
      </w:pPr>
    </w:lvl>
    <w:lvl w:ilvl="4" w:tplc="0C0A0003">
      <w:start w:val="1"/>
      <w:numFmt w:val="lowerLetter"/>
      <w:lvlText w:val="%5."/>
      <w:lvlJc w:val="left"/>
      <w:pPr>
        <w:ind w:left="3600" w:hanging="360"/>
      </w:pPr>
    </w:lvl>
    <w:lvl w:ilvl="5" w:tplc="0C0A0005">
      <w:start w:val="1"/>
      <w:numFmt w:val="lowerRoman"/>
      <w:lvlText w:val="%6."/>
      <w:lvlJc w:val="right"/>
      <w:pPr>
        <w:ind w:left="4320" w:hanging="180"/>
      </w:pPr>
    </w:lvl>
    <w:lvl w:ilvl="6" w:tplc="0C0A0001">
      <w:start w:val="1"/>
      <w:numFmt w:val="decimal"/>
      <w:lvlText w:val="%7."/>
      <w:lvlJc w:val="left"/>
      <w:pPr>
        <w:ind w:left="5040" w:hanging="360"/>
      </w:pPr>
    </w:lvl>
    <w:lvl w:ilvl="7" w:tplc="0C0A0003">
      <w:start w:val="1"/>
      <w:numFmt w:val="lowerLetter"/>
      <w:lvlText w:val="%8."/>
      <w:lvlJc w:val="left"/>
      <w:pPr>
        <w:ind w:left="5760" w:hanging="360"/>
      </w:pPr>
    </w:lvl>
    <w:lvl w:ilvl="8" w:tplc="0C0A0005">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EB1"/>
    <w:rsid w:val="00034EB1"/>
    <w:rsid w:val="003A7E5E"/>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EB1"/>
    <w:pPr>
      <w:spacing w:after="0" w:line="240" w:lineRule="auto"/>
    </w:pPr>
    <w:rPr>
      <w:rFonts w:ascii="Verdana" w:eastAsia="Times New Roman" w:hAnsi="Verdana" w:cs="Times New Roman"/>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EB1"/>
    <w:pPr>
      <w:tabs>
        <w:tab w:val="center" w:pos="4680"/>
        <w:tab w:val="right" w:pos="9360"/>
      </w:tabs>
    </w:pPr>
  </w:style>
  <w:style w:type="character" w:customStyle="1" w:styleId="HeaderChar">
    <w:name w:val="Header Char"/>
    <w:basedOn w:val="DefaultParagraphFont"/>
    <w:link w:val="Header"/>
    <w:uiPriority w:val="99"/>
    <w:rsid w:val="00034EB1"/>
    <w:rPr>
      <w:rFonts w:ascii="Verdana" w:eastAsia="Times New Roman" w:hAnsi="Verdana" w:cs="Times New Roman"/>
      <w:sz w:val="20"/>
      <w:szCs w:val="20"/>
      <w:lang w:val="es-ES_tradnl"/>
    </w:rPr>
  </w:style>
  <w:style w:type="paragraph" w:styleId="Footer">
    <w:name w:val="footer"/>
    <w:basedOn w:val="Normal"/>
    <w:link w:val="FooterChar"/>
    <w:uiPriority w:val="99"/>
    <w:unhideWhenUsed/>
    <w:rsid w:val="00034EB1"/>
    <w:pPr>
      <w:tabs>
        <w:tab w:val="center" w:pos="4680"/>
        <w:tab w:val="right" w:pos="9360"/>
      </w:tabs>
    </w:pPr>
  </w:style>
  <w:style w:type="character" w:customStyle="1" w:styleId="FooterChar">
    <w:name w:val="Footer Char"/>
    <w:basedOn w:val="DefaultParagraphFont"/>
    <w:link w:val="Footer"/>
    <w:uiPriority w:val="99"/>
    <w:rsid w:val="00034EB1"/>
    <w:rPr>
      <w:rFonts w:ascii="Verdana" w:eastAsia="Times New Roman" w:hAnsi="Verdana" w:cs="Times New Roman"/>
      <w:sz w:val="20"/>
      <w:szCs w:val="20"/>
      <w:lang w:val="es-ES_tradnl"/>
    </w:rPr>
  </w:style>
  <w:style w:type="character" w:customStyle="1" w:styleId="ListParagraphChar">
    <w:name w:val="List Paragraph Char"/>
    <w:basedOn w:val="DefaultParagraphFont"/>
    <w:link w:val="ListParagraph"/>
    <w:locked/>
    <w:rsid w:val="00034EB1"/>
    <w:rPr>
      <w:rFonts w:ascii="Verdana" w:eastAsia="Times New Roman" w:hAnsi="Verdana"/>
      <w:lang w:val="es-ES_tradnl"/>
    </w:rPr>
  </w:style>
  <w:style w:type="paragraph" w:styleId="ListParagraph">
    <w:name w:val="List Paragraph"/>
    <w:basedOn w:val="Normal"/>
    <w:link w:val="ListParagraphChar"/>
    <w:qFormat/>
    <w:rsid w:val="00034EB1"/>
    <w:pPr>
      <w:ind w:left="720"/>
    </w:pPr>
    <w:rPr>
      <w:rFonts w:cstheme="minorBidi"/>
      <w:sz w:val="22"/>
      <w:szCs w:val="22"/>
    </w:rPr>
  </w:style>
  <w:style w:type="character" w:customStyle="1" w:styleId="apple-style-span">
    <w:name w:val="apple-style-span"/>
    <w:basedOn w:val="DefaultParagraphFont"/>
    <w:rsid w:val="00034E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EB1"/>
    <w:pPr>
      <w:spacing w:after="0" w:line="240" w:lineRule="auto"/>
    </w:pPr>
    <w:rPr>
      <w:rFonts w:ascii="Verdana" w:eastAsia="Times New Roman" w:hAnsi="Verdana" w:cs="Times New Roman"/>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EB1"/>
    <w:pPr>
      <w:tabs>
        <w:tab w:val="center" w:pos="4680"/>
        <w:tab w:val="right" w:pos="9360"/>
      </w:tabs>
    </w:pPr>
  </w:style>
  <w:style w:type="character" w:customStyle="1" w:styleId="HeaderChar">
    <w:name w:val="Header Char"/>
    <w:basedOn w:val="DefaultParagraphFont"/>
    <w:link w:val="Header"/>
    <w:uiPriority w:val="99"/>
    <w:rsid w:val="00034EB1"/>
    <w:rPr>
      <w:rFonts w:ascii="Verdana" w:eastAsia="Times New Roman" w:hAnsi="Verdana" w:cs="Times New Roman"/>
      <w:sz w:val="20"/>
      <w:szCs w:val="20"/>
      <w:lang w:val="es-ES_tradnl"/>
    </w:rPr>
  </w:style>
  <w:style w:type="paragraph" w:styleId="Footer">
    <w:name w:val="footer"/>
    <w:basedOn w:val="Normal"/>
    <w:link w:val="FooterChar"/>
    <w:uiPriority w:val="99"/>
    <w:unhideWhenUsed/>
    <w:rsid w:val="00034EB1"/>
    <w:pPr>
      <w:tabs>
        <w:tab w:val="center" w:pos="4680"/>
        <w:tab w:val="right" w:pos="9360"/>
      </w:tabs>
    </w:pPr>
  </w:style>
  <w:style w:type="character" w:customStyle="1" w:styleId="FooterChar">
    <w:name w:val="Footer Char"/>
    <w:basedOn w:val="DefaultParagraphFont"/>
    <w:link w:val="Footer"/>
    <w:uiPriority w:val="99"/>
    <w:rsid w:val="00034EB1"/>
    <w:rPr>
      <w:rFonts w:ascii="Verdana" w:eastAsia="Times New Roman" w:hAnsi="Verdana" w:cs="Times New Roman"/>
      <w:sz w:val="20"/>
      <w:szCs w:val="20"/>
      <w:lang w:val="es-ES_tradnl"/>
    </w:rPr>
  </w:style>
  <w:style w:type="character" w:customStyle="1" w:styleId="ListParagraphChar">
    <w:name w:val="List Paragraph Char"/>
    <w:basedOn w:val="DefaultParagraphFont"/>
    <w:link w:val="ListParagraph"/>
    <w:locked/>
    <w:rsid w:val="00034EB1"/>
    <w:rPr>
      <w:rFonts w:ascii="Verdana" w:eastAsia="Times New Roman" w:hAnsi="Verdana"/>
      <w:lang w:val="es-ES_tradnl"/>
    </w:rPr>
  </w:style>
  <w:style w:type="paragraph" w:styleId="ListParagraph">
    <w:name w:val="List Paragraph"/>
    <w:basedOn w:val="Normal"/>
    <w:link w:val="ListParagraphChar"/>
    <w:qFormat/>
    <w:rsid w:val="00034EB1"/>
    <w:pPr>
      <w:ind w:left="720"/>
    </w:pPr>
    <w:rPr>
      <w:rFonts w:cstheme="minorBidi"/>
      <w:sz w:val="22"/>
      <w:szCs w:val="22"/>
    </w:rPr>
  </w:style>
  <w:style w:type="character" w:customStyle="1" w:styleId="apple-style-span">
    <w:name w:val="apple-style-span"/>
    <w:basedOn w:val="DefaultParagraphFont"/>
    <w:rsid w:val="00034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375</Words>
  <Characters>2555</Characters>
  <Application>Microsoft Office Word</Application>
  <DocSecurity>0</DocSecurity>
  <Lines>37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2016-10-26T22:18:00Z</dcterms:created>
  <dcterms:modified xsi:type="dcterms:W3CDTF">2016-10-26T22:24:00Z</dcterms:modified>
</cp:coreProperties>
</file>