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E3" w:rsidRPr="00681AE3" w:rsidRDefault="00681AE3" w:rsidP="00681AE3">
      <w:pPr>
        <w:spacing w:after="0" w:line="240" w:lineRule="auto"/>
        <w:jc w:val="center"/>
        <w:rPr>
          <w:rFonts w:ascii="Verdana" w:hAnsi="Verdana"/>
          <w:b/>
          <w:sz w:val="20"/>
          <w:szCs w:val="20"/>
          <w:u w:val="single"/>
          <w:lang w:val="es-MX"/>
        </w:rPr>
      </w:pPr>
      <w:r w:rsidRPr="00681AE3">
        <w:rPr>
          <w:rFonts w:ascii="Verdana" w:hAnsi="Verdana"/>
          <w:b/>
          <w:sz w:val="20"/>
          <w:szCs w:val="20"/>
          <w:u w:val="single"/>
          <w:lang w:val="es-MX"/>
        </w:rPr>
        <w:t xml:space="preserve">Caso </w:t>
      </w:r>
      <w:proofErr w:type="spellStart"/>
      <w:r w:rsidRPr="00681AE3">
        <w:rPr>
          <w:rFonts w:ascii="Verdana" w:hAnsi="Verdana"/>
          <w:b/>
          <w:sz w:val="20"/>
          <w:szCs w:val="20"/>
          <w:u w:val="single"/>
          <w:lang w:val="es-MX"/>
        </w:rPr>
        <w:t>Servellón</w:t>
      </w:r>
      <w:proofErr w:type="spellEnd"/>
      <w:r w:rsidRPr="00681AE3">
        <w:rPr>
          <w:rFonts w:ascii="Verdana" w:hAnsi="Verdana"/>
          <w:b/>
          <w:sz w:val="20"/>
          <w:szCs w:val="20"/>
          <w:u w:val="single"/>
          <w:lang w:val="es-MX"/>
        </w:rPr>
        <w:t xml:space="preserve"> García y otros </w:t>
      </w:r>
      <w:r w:rsidRPr="00681AE3">
        <w:rPr>
          <w:rFonts w:ascii="Verdana" w:hAnsi="Verdana"/>
          <w:b/>
          <w:i/>
          <w:sz w:val="20"/>
          <w:szCs w:val="20"/>
          <w:u w:val="single"/>
          <w:lang w:val="es-MX"/>
        </w:rPr>
        <w:t>Vs</w:t>
      </w:r>
      <w:r w:rsidRPr="00681AE3">
        <w:rPr>
          <w:rFonts w:ascii="Verdana" w:hAnsi="Verdana"/>
          <w:b/>
          <w:sz w:val="20"/>
          <w:szCs w:val="20"/>
          <w:u w:val="single"/>
          <w:lang w:val="es-MX"/>
        </w:rPr>
        <w:t>. Honduras: reparaciones declaradas cumplidas</w:t>
      </w:r>
    </w:p>
    <w:p w:rsidR="00681AE3" w:rsidRDefault="00681AE3" w:rsidP="00681AE3">
      <w:pPr>
        <w:spacing w:after="0" w:line="240" w:lineRule="auto"/>
        <w:jc w:val="center"/>
        <w:rPr>
          <w:rFonts w:ascii="Verdana" w:hAnsi="Verdana"/>
          <w:b/>
          <w:sz w:val="20"/>
          <w:szCs w:val="20"/>
          <w:u w:val="single"/>
          <w:lang w:val="es-MX"/>
        </w:rPr>
      </w:pPr>
    </w:p>
    <w:p w:rsidR="00681AE3" w:rsidRPr="00681AE3" w:rsidRDefault="00681AE3" w:rsidP="00681AE3">
      <w:pPr>
        <w:spacing w:after="0" w:line="240" w:lineRule="auto"/>
        <w:jc w:val="center"/>
        <w:rPr>
          <w:rFonts w:ascii="Verdana" w:hAnsi="Verdana"/>
          <w:b/>
          <w:sz w:val="20"/>
          <w:szCs w:val="20"/>
          <w:u w:val="single"/>
          <w:lang w:val="es-MX"/>
        </w:rPr>
      </w:pPr>
      <w:bookmarkStart w:id="0" w:name="_GoBack"/>
      <w:bookmarkEnd w:id="0"/>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P</w:t>
      </w:r>
      <w:r w:rsidRPr="00681AE3">
        <w:rPr>
          <w:rFonts w:ascii="Verdana" w:hAnsi="Verdana"/>
          <w:sz w:val="20"/>
          <w:lang w:val="es-MX"/>
        </w:rPr>
        <w:t>ublicar, en el plazo de seis meses, en el Diario Oficial y en otro diario de amplia circulación nacional, por una sola vez, el capítulo relativo a los hechos probados de esta Sentencia, sin las notas al pie de página correspondientes, y la parte resolutiva de la misma, en los términos del párraf</w:t>
      </w:r>
      <w:r w:rsidRPr="00681AE3">
        <w:rPr>
          <w:rFonts w:ascii="Verdana" w:hAnsi="Verdana"/>
          <w:sz w:val="20"/>
          <w:lang w:val="es-MX"/>
        </w:rPr>
        <w:t>o 197 de la presente Sentencia.</w:t>
      </w:r>
    </w:p>
    <w:p w:rsidR="00681AE3" w:rsidRPr="00681AE3" w:rsidRDefault="00681AE3" w:rsidP="00681AE3">
      <w:pPr>
        <w:pStyle w:val="ListParagraph"/>
        <w:spacing w:after="0" w:line="240" w:lineRule="auto"/>
        <w:ind w:left="360" w:hanging="360"/>
        <w:jc w:val="both"/>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R</w:t>
      </w:r>
      <w:r w:rsidRPr="00681AE3">
        <w:rPr>
          <w:rFonts w:ascii="Verdana" w:hAnsi="Verdana"/>
          <w:sz w:val="20"/>
          <w:lang w:val="es-MX"/>
        </w:rPr>
        <w:t>ealizar, en un plazo de seis meses, un acto público de reconocimiento de su responsabilidad internacional, en los términos del párraf</w:t>
      </w:r>
      <w:r>
        <w:rPr>
          <w:rFonts w:ascii="Verdana" w:hAnsi="Verdana"/>
          <w:sz w:val="20"/>
          <w:lang w:val="es-MX"/>
        </w:rPr>
        <w:t>o 198 de la presente Sentencia.</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N</w:t>
      </w:r>
      <w:r w:rsidRPr="00681AE3">
        <w:rPr>
          <w:rFonts w:ascii="Verdana" w:hAnsi="Verdana"/>
          <w:sz w:val="20"/>
          <w:lang w:val="es-MX"/>
        </w:rPr>
        <w:t xml:space="preserve">ombrar, dentro del plazo de un año, una calle o una plaza, en la ciudad de Tegucigalpa, en memoria de Marco Antonio </w:t>
      </w:r>
      <w:proofErr w:type="spellStart"/>
      <w:r w:rsidRPr="00681AE3">
        <w:rPr>
          <w:rFonts w:ascii="Verdana" w:hAnsi="Verdana"/>
          <w:sz w:val="20"/>
          <w:lang w:val="es-MX"/>
        </w:rPr>
        <w:t>Servellón</w:t>
      </w:r>
      <w:proofErr w:type="spellEnd"/>
      <w:r w:rsidRPr="00681AE3">
        <w:rPr>
          <w:rFonts w:ascii="Verdana" w:hAnsi="Verdana"/>
          <w:sz w:val="20"/>
          <w:lang w:val="es-MX"/>
        </w:rPr>
        <w:t xml:space="preserve"> García, Rony Alexis </w:t>
      </w:r>
      <w:proofErr w:type="spellStart"/>
      <w:r w:rsidRPr="00681AE3">
        <w:rPr>
          <w:rFonts w:ascii="Verdana" w:hAnsi="Verdana"/>
          <w:sz w:val="20"/>
          <w:lang w:val="es-MX"/>
        </w:rPr>
        <w:t>Betancourth</w:t>
      </w:r>
      <w:proofErr w:type="spellEnd"/>
      <w:r w:rsidRPr="00681AE3">
        <w:rPr>
          <w:rFonts w:ascii="Verdana" w:hAnsi="Verdana"/>
          <w:sz w:val="20"/>
          <w:lang w:val="es-MX"/>
        </w:rPr>
        <w:t xml:space="preserve"> Vásquez, Diomedes Obed García Sánchez y Orlando Álvarez Ríos.  En dicha calle o plaza el Estado deberá fijar una placa con los nombres de las referidas cuatro víctimas, en los términos del párrafo</w:t>
      </w:r>
      <w:r w:rsidRPr="00681AE3">
        <w:rPr>
          <w:rFonts w:ascii="Verdana" w:hAnsi="Verdana"/>
          <w:sz w:val="20"/>
          <w:lang w:val="es-MX"/>
        </w:rPr>
        <w:t xml:space="preserve"> 199 de la presente Sentencia. </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E</w:t>
      </w:r>
      <w:r w:rsidRPr="00681AE3">
        <w:rPr>
          <w:rFonts w:ascii="Verdana" w:hAnsi="Verdana"/>
          <w:sz w:val="20"/>
          <w:lang w:val="es-MX"/>
        </w:rPr>
        <w:t>stablecer, en un plazo razonable, un programa de formación y capacitación para el personal policial, judicial, del Ministerio Público, y penitenciario sobre la especial protección que debe ser prestada por el Estado a los niños y jóvenes, el principio de igualdad ante la ley y no discriminación y los principios y normas de protección de los derechos humanos, relacionados con la aplicación de los estándares internacionales sobre</w:t>
      </w:r>
      <w:r w:rsidRPr="00681AE3">
        <w:rPr>
          <w:rFonts w:ascii="Verdana" w:hAnsi="Verdana"/>
          <w:b/>
          <w:sz w:val="20"/>
          <w:lang w:val="es-MX"/>
        </w:rPr>
        <w:t xml:space="preserve"> </w:t>
      </w:r>
      <w:r w:rsidRPr="00681AE3">
        <w:rPr>
          <w:rFonts w:ascii="Verdana" w:hAnsi="Verdana"/>
          <w:sz w:val="20"/>
          <w:lang w:val="es-MX"/>
        </w:rPr>
        <w:t>la detención de personas, respetos de sus derechos y garantías judiciales, el trato que deben recibir, sus condiciones de detención, tratamiento y control médico, el derecho a contar con un abogado, a recibir visitas y a que los menores y adultos, así como lo los procesados y condenados se alojen en instalaciones diferentes, en los términos del párrafo</w:t>
      </w:r>
      <w:r w:rsidRPr="00681AE3">
        <w:rPr>
          <w:rFonts w:ascii="Verdana" w:hAnsi="Verdana"/>
          <w:sz w:val="20"/>
          <w:lang w:val="es-MX"/>
        </w:rPr>
        <w:t xml:space="preserve"> 200 de la presente Sentencia. </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R</w:t>
      </w:r>
      <w:r w:rsidRPr="00681AE3">
        <w:rPr>
          <w:rFonts w:ascii="Verdana" w:hAnsi="Verdana"/>
          <w:sz w:val="20"/>
          <w:lang w:val="es-MX"/>
        </w:rPr>
        <w:t xml:space="preserve">ealizar, en un plazo razonable, una campaña con la finalidad de sensibilizar a la sociedad hondureña respecto de la importancia de la protección a los niños y jóvenes, informarla sobre los deberes específicos para su protección que corresponden a la familia, a la sociedad y al Estado y hacer ver a la población que los niños y jóvenes en situación de riesgo social no están identificados con la delincuencia.  Asimismo, el Estado deberá emitir, en el plazo de un año, un sello postal alusivo a la protección debida por el Estado y la sociedad a los niños y jóvenes en situación de riesgo, para evitar que estos se tornen víctimas de violencia, en los términos de los párrafos 201 y 202 de la presente Sentencia. </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C</w:t>
      </w:r>
      <w:r w:rsidRPr="00681AE3">
        <w:rPr>
          <w:rFonts w:ascii="Verdana" w:hAnsi="Verdana"/>
          <w:sz w:val="20"/>
          <w:lang w:val="es-MX"/>
        </w:rPr>
        <w:t>rear, dentro de un plazo razonable, una base de datos unificada entre todas las instituciones involucradas en la investigación, identificación y sanción de los responsables por las muertes violentas de niños y jóvenes en situación de riesgo, en los términos del párra</w:t>
      </w:r>
      <w:r w:rsidRPr="00681AE3">
        <w:rPr>
          <w:rFonts w:ascii="Verdana" w:hAnsi="Verdana"/>
          <w:sz w:val="20"/>
          <w:lang w:val="es-MX"/>
        </w:rPr>
        <w:t>fo 203 de la presente Sentencia</w:t>
      </w:r>
      <w:r>
        <w:rPr>
          <w:rFonts w:ascii="Verdana" w:hAnsi="Verdana"/>
          <w:sz w:val="20"/>
          <w:lang w:val="es-MX"/>
        </w:rPr>
        <w:t>.</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P</w:t>
      </w:r>
      <w:r w:rsidRPr="00681AE3">
        <w:rPr>
          <w:rFonts w:ascii="Verdana" w:hAnsi="Verdana"/>
          <w:sz w:val="20"/>
          <w:lang w:val="es-MX"/>
        </w:rPr>
        <w:t xml:space="preserve">agar a los familiares de Marco Antonio </w:t>
      </w:r>
      <w:proofErr w:type="spellStart"/>
      <w:r w:rsidRPr="00681AE3">
        <w:rPr>
          <w:rFonts w:ascii="Verdana" w:hAnsi="Verdana"/>
          <w:sz w:val="20"/>
          <w:lang w:val="es-MX"/>
        </w:rPr>
        <w:t>Servellón</w:t>
      </w:r>
      <w:proofErr w:type="spellEnd"/>
      <w:r w:rsidRPr="00681AE3">
        <w:rPr>
          <w:rFonts w:ascii="Verdana" w:hAnsi="Verdana"/>
          <w:sz w:val="20"/>
          <w:lang w:val="es-MX"/>
        </w:rPr>
        <w:t xml:space="preserve"> García, Rony Alexis </w:t>
      </w:r>
      <w:proofErr w:type="spellStart"/>
      <w:r w:rsidRPr="00681AE3">
        <w:rPr>
          <w:rFonts w:ascii="Verdana" w:hAnsi="Verdana"/>
          <w:sz w:val="20"/>
          <w:lang w:val="es-MX"/>
        </w:rPr>
        <w:t>Betancourth</w:t>
      </w:r>
      <w:proofErr w:type="spellEnd"/>
      <w:r w:rsidRPr="00681AE3">
        <w:rPr>
          <w:rFonts w:ascii="Verdana" w:hAnsi="Verdana"/>
          <w:sz w:val="20"/>
          <w:lang w:val="es-MX"/>
        </w:rPr>
        <w:t xml:space="preserve"> Vásquez, Diomedes Obed García Sánchez y Orlando Álvarez Ríos, en su condición de derechohabientes, en el plazo de un año, por concepto de las indemnizaciones por daños material e inmaterial, la cantidades fijadas en los párrafos 176 y 184.a y 184.b de la presente Sentencia, en los términos de los párrafos 169 a 172, 176, 180, 182, 1</w:t>
      </w:r>
      <w:r w:rsidRPr="00681AE3">
        <w:rPr>
          <w:rFonts w:ascii="Verdana" w:hAnsi="Verdana"/>
          <w:sz w:val="20"/>
          <w:lang w:val="es-MX"/>
        </w:rPr>
        <w:t>84.a y 184.b y 185 de la misma.</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lastRenderedPageBreak/>
        <w:t>P</w:t>
      </w:r>
      <w:r w:rsidRPr="00681AE3">
        <w:rPr>
          <w:rFonts w:ascii="Verdana" w:hAnsi="Verdana"/>
          <w:sz w:val="20"/>
          <w:lang w:val="es-MX"/>
        </w:rPr>
        <w:t xml:space="preserve">agar a </w:t>
      </w:r>
      <w:proofErr w:type="spellStart"/>
      <w:r w:rsidRPr="00681AE3">
        <w:rPr>
          <w:rFonts w:ascii="Verdana" w:hAnsi="Verdana"/>
          <w:sz w:val="20"/>
          <w:lang w:val="es-MX"/>
        </w:rPr>
        <w:t>Bricelda</w:t>
      </w:r>
      <w:proofErr w:type="spellEnd"/>
      <w:r w:rsidRPr="00681AE3">
        <w:rPr>
          <w:rFonts w:ascii="Verdana" w:hAnsi="Verdana"/>
          <w:sz w:val="20"/>
          <w:lang w:val="es-MX"/>
        </w:rPr>
        <w:t xml:space="preserve"> </w:t>
      </w:r>
      <w:proofErr w:type="spellStart"/>
      <w:r w:rsidRPr="00681AE3">
        <w:rPr>
          <w:rFonts w:ascii="Verdana" w:hAnsi="Verdana"/>
          <w:sz w:val="20"/>
          <w:lang w:val="es-MX"/>
        </w:rPr>
        <w:t>Aide</w:t>
      </w:r>
      <w:proofErr w:type="spellEnd"/>
      <w:r w:rsidRPr="00681AE3">
        <w:rPr>
          <w:rFonts w:ascii="Verdana" w:hAnsi="Verdana"/>
          <w:sz w:val="20"/>
          <w:lang w:val="es-MX"/>
        </w:rPr>
        <w:t xml:space="preserve"> García Lobo, Hilda </w:t>
      </w:r>
      <w:proofErr w:type="spellStart"/>
      <w:r w:rsidRPr="00681AE3">
        <w:rPr>
          <w:rFonts w:ascii="Verdana" w:hAnsi="Verdana"/>
          <w:sz w:val="20"/>
          <w:lang w:val="es-MX"/>
        </w:rPr>
        <w:t>Estebana</w:t>
      </w:r>
      <w:proofErr w:type="spellEnd"/>
      <w:r w:rsidRPr="00681AE3">
        <w:rPr>
          <w:rFonts w:ascii="Verdana" w:hAnsi="Verdana"/>
          <w:sz w:val="20"/>
          <w:lang w:val="es-MX"/>
        </w:rPr>
        <w:t xml:space="preserve"> Hernández López y </w:t>
      </w:r>
      <w:proofErr w:type="spellStart"/>
      <w:r w:rsidRPr="00681AE3">
        <w:rPr>
          <w:rFonts w:ascii="Verdana" w:hAnsi="Verdana"/>
          <w:sz w:val="20"/>
          <w:lang w:val="es-MX"/>
        </w:rPr>
        <w:t>Dilcia</w:t>
      </w:r>
      <w:proofErr w:type="spellEnd"/>
      <w:r w:rsidRPr="00681AE3">
        <w:rPr>
          <w:rFonts w:ascii="Verdana" w:hAnsi="Verdana"/>
          <w:sz w:val="20"/>
          <w:lang w:val="es-MX"/>
        </w:rPr>
        <w:t xml:space="preserve"> Álvarez Ríos, en el plazo de un año, por concepto de la indemnización por daño material, la cantidad fijada en párrafo 177 de la presente Sentencia</w:t>
      </w:r>
      <w:r w:rsidRPr="00681AE3">
        <w:rPr>
          <w:rFonts w:ascii="Verdana" w:hAnsi="Verdana"/>
          <w:sz w:val="20"/>
          <w:lang w:val="es-MX"/>
        </w:rPr>
        <w:t>, según sus términos.</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P</w:t>
      </w:r>
      <w:r w:rsidRPr="00681AE3">
        <w:rPr>
          <w:rFonts w:ascii="Verdana" w:hAnsi="Verdana"/>
          <w:sz w:val="20"/>
          <w:lang w:val="es-MX"/>
        </w:rPr>
        <w:t xml:space="preserve">agar a Reyes </w:t>
      </w:r>
      <w:proofErr w:type="spellStart"/>
      <w:r w:rsidRPr="00681AE3">
        <w:rPr>
          <w:rFonts w:ascii="Verdana" w:hAnsi="Verdana"/>
          <w:sz w:val="20"/>
          <w:lang w:val="es-MX"/>
        </w:rPr>
        <w:t>Servellón</w:t>
      </w:r>
      <w:proofErr w:type="spellEnd"/>
      <w:r w:rsidRPr="00681AE3">
        <w:rPr>
          <w:rFonts w:ascii="Verdana" w:hAnsi="Verdana"/>
          <w:sz w:val="20"/>
          <w:lang w:val="es-MX"/>
        </w:rPr>
        <w:t xml:space="preserve"> Santos, </w:t>
      </w:r>
      <w:proofErr w:type="spellStart"/>
      <w:r w:rsidRPr="00681AE3">
        <w:rPr>
          <w:rFonts w:ascii="Verdana" w:hAnsi="Verdana"/>
          <w:sz w:val="20"/>
          <w:lang w:val="es-MX"/>
        </w:rPr>
        <w:t>Bricelda</w:t>
      </w:r>
      <w:proofErr w:type="spellEnd"/>
      <w:r w:rsidRPr="00681AE3">
        <w:rPr>
          <w:rFonts w:ascii="Verdana" w:hAnsi="Verdana"/>
          <w:sz w:val="20"/>
          <w:lang w:val="es-MX"/>
        </w:rPr>
        <w:t xml:space="preserve"> </w:t>
      </w:r>
      <w:proofErr w:type="spellStart"/>
      <w:r w:rsidRPr="00681AE3">
        <w:rPr>
          <w:rFonts w:ascii="Verdana" w:hAnsi="Verdana"/>
          <w:sz w:val="20"/>
          <w:lang w:val="es-MX"/>
        </w:rPr>
        <w:t>Aide</w:t>
      </w:r>
      <w:proofErr w:type="spellEnd"/>
      <w:r w:rsidRPr="00681AE3">
        <w:rPr>
          <w:rFonts w:ascii="Verdana" w:hAnsi="Verdana"/>
          <w:sz w:val="20"/>
          <w:lang w:val="es-MX"/>
        </w:rPr>
        <w:t xml:space="preserve"> García Lobo, </w:t>
      </w:r>
      <w:proofErr w:type="spellStart"/>
      <w:r w:rsidRPr="00681AE3">
        <w:rPr>
          <w:rFonts w:ascii="Verdana" w:hAnsi="Verdana"/>
          <w:sz w:val="20"/>
          <w:lang w:val="es-MX"/>
        </w:rPr>
        <w:t>Marja</w:t>
      </w:r>
      <w:proofErr w:type="spellEnd"/>
      <w:r w:rsidRPr="00681AE3">
        <w:rPr>
          <w:rFonts w:ascii="Verdana" w:hAnsi="Verdana"/>
          <w:sz w:val="20"/>
          <w:lang w:val="es-MX"/>
        </w:rPr>
        <w:t xml:space="preserve"> </w:t>
      </w:r>
      <w:proofErr w:type="spellStart"/>
      <w:r w:rsidRPr="00681AE3">
        <w:rPr>
          <w:rFonts w:ascii="Verdana" w:hAnsi="Verdana"/>
          <w:sz w:val="20"/>
          <w:lang w:val="es-MX"/>
        </w:rPr>
        <w:t>Ibeth</w:t>
      </w:r>
      <w:proofErr w:type="spellEnd"/>
      <w:r w:rsidRPr="00681AE3">
        <w:rPr>
          <w:rFonts w:ascii="Verdana" w:hAnsi="Verdana"/>
          <w:sz w:val="20"/>
          <w:lang w:val="es-MX"/>
        </w:rPr>
        <w:t xml:space="preserve"> Castro García, Manases </w:t>
      </w:r>
      <w:proofErr w:type="spellStart"/>
      <w:r w:rsidRPr="00681AE3">
        <w:rPr>
          <w:rFonts w:ascii="Verdana" w:hAnsi="Verdana"/>
          <w:sz w:val="20"/>
          <w:lang w:val="es-MX"/>
        </w:rPr>
        <w:t>Betancourth</w:t>
      </w:r>
      <w:proofErr w:type="spellEnd"/>
      <w:r w:rsidRPr="00681AE3">
        <w:rPr>
          <w:rFonts w:ascii="Verdana" w:hAnsi="Verdana"/>
          <w:sz w:val="20"/>
          <w:lang w:val="es-MX"/>
        </w:rPr>
        <w:t xml:space="preserve"> Núñez, Hilda </w:t>
      </w:r>
      <w:proofErr w:type="spellStart"/>
      <w:r w:rsidRPr="00681AE3">
        <w:rPr>
          <w:rFonts w:ascii="Verdana" w:hAnsi="Verdana"/>
          <w:sz w:val="20"/>
          <w:lang w:val="es-MX"/>
        </w:rPr>
        <w:t>Estebana</w:t>
      </w:r>
      <w:proofErr w:type="spellEnd"/>
      <w:r w:rsidRPr="00681AE3">
        <w:rPr>
          <w:rFonts w:ascii="Verdana" w:hAnsi="Verdana"/>
          <w:sz w:val="20"/>
          <w:lang w:val="es-MX"/>
        </w:rPr>
        <w:t xml:space="preserve"> Hernández López, Zara </w:t>
      </w:r>
      <w:proofErr w:type="spellStart"/>
      <w:r w:rsidRPr="00681AE3">
        <w:rPr>
          <w:rFonts w:ascii="Verdana" w:hAnsi="Verdana"/>
          <w:sz w:val="20"/>
          <w:lang w:val="es-MX"/>
        </w:rPr>
        <w:t>Beatris</w:t>
      </w:r>
      <w:proofErr w:type="spellEnd"/>
      <w:r w:rsidRPr="00681AE3">
        <w:rPr>
          <w:rFonts w:ascii="Verdana" w:hAnsi="Verdana"/>
          <w:sz w:val="20"/>
          <w:lang w:val="es-MX"/>
        </w:rPr>
        <w:t xml:space="preserve"> Bustillo Rivera, Ana Luisa Vargas Soto y </w:t>
      </w:r>
      <w:proofErr w:type="spellStart"/>
      <w:r w:rsidRPr="00681AE3">
        <w:rPr>
          <w:rFonts w:ascii="Verdana" w:hAnsi="Verdana"/>
          <w:sz w:val="20"/>
          <w:lang w:val="es-MX"/>
        </w:rPr>
        <w:t>Dilcia</w:t>
      </w:r>
      <w:proofErr w:type="spellEnd"/>
      <w:r w:rsidRPr="00681AE3">
        <w:rPr>
          <w:rFonts w:ascii="Verdana" w:hAnsi="Verdana"/>
          <w:sz w:val="20"/>
          <w:lang w:val="es-MX"/>
        </w:rPr>
        <w:t xml:space="preserve"> Álvarez Ríos en el plazo de un año, por concepto de la indemnización por daño inmaterial, la cantidad fijada en los párrafos 184.c, 184.d, 184.e, 184.f y 184.g de la presente Sentencia, en los términos de los párrafos 180, 181, 183, 184.c, 184.d, 184.e, 18</w:t>
      </w:r>
      <w:r w:rsidRPr="00681AE3">
        <w:rPr>
          <w:rFonts w:ascii="Verdana" w:hAnsi="Verdana"/>
          <w:sz w:val="20"/>
          <w:lang w:val="es-MX"/>
        </w:rPr>
        <w:t>4.f y 184.g, y 185 de la misma.</w:t>
      </w:r>
    </w:p>
    <w:p w:rsidR="00681AE3" w:rsidRPr="00681AE3" w:rsidRDefault="00681AE3" w:rsidP="00681AE3">
      <w:pPr>
        <w:pStyle w:val="ListParagraph"/>
        <w:spacing w:after="0" w:line="240" w:lineRule="auto"/>
        <w:ind w:left="360" w:hanging="360"/>
        <w:rPr>
          <w:rFonts w:ascii="Verdana" w:hAnsi="Verdana"/>
          <w:sz w:val="20"/>
          <w:lang w:val="es-MX"/>
        </w:rPr>
      </w:pPr>
    </w:p>
    <w:p w:rsidR="00681AE3" w:rsidRPr="00681AE3" w:rsidRDefault="00681AE3" w:rsidP="00681AE3">
      <w:pPr>
        <w:pStyle w:val="ListParagraph"/>
        <w:numPr>
          <w:ilvl w:val="0"/>
          <w:numId w:val="1"/>
        </w:numPr>
        <w:spacing w:after="0" w:line="240" w:lineRule="auto"/>
        <w:ind w:left="360"/>
        <w:jc w:val="both"/>
        <w:rPr>
          <w:rFonts w:ascii="Verdana" w:hAnsi="Verdana"/>
          <w:sz w:val="20"/>
          <w:lang w:val="es-MX"/>
        </w:rPr>
      </w:pPr>
      <w:r w:rsidRPr="00681AE3">
        <w:rPr>
          <w:rFonts w:ascii="Verdana" w:hAnsi="Verdana"/>
          <w:sz w:val="20"/>
          <w:lang w:val="es-MX"/>
        </w:rPr>
        <w:t>P</w:t>
      </w:r>
      <w:r w:rsidRPr="00681AE3">
        <w:rPr>
          <w:rFonts w:ascii="Verdana" w:hAnsi="Verdana"/>
          <w:sz w:val="20"/>
          <w:lang w:val="es-MX"/>
        </w:rPr>
        <w:t xml:space="preserve">agar, en el plazo de un año, por concepto de costas y gastos generados en el ámbito interno y en el proceso internacional ante el sistema interamericano de protección de los derechos humanos, la cantidad fijada en el párrafo 205 de la presente Sentencia, la cual deberá ser entregada a </w:t>
      </w:r>
      <w:proofErr w:type="spellStart"/>
      <w:r w:rsidRPr="00681AE3">
        <w:rPr>
          <w:rFonts w:ascii="Verdana" w:hAnsi="Verdana"/>
          <w:sz w:val="20"/>
          <w:lang w:val="es-MX"/>
        </w:rPr>
        <w:t>Bricelda</w:t>
      </w:r>
      <w:proofErr w:type="spellEnd"/>
      <w:r w:rsidRPr="00681AE3">
        <w:rPr>
          <w:rFonts w:ascii="Verdana" w:hAnsi="Verdana"/>
          <w:sz w:val="20"/>
          <w:lang w:val="es-MX"/>
        </w:rPr>
        <w:t xml:space="preserve"> </w:t>
      </w:r>
      <w:proofErr w:type="spellStart"/>
      <w:r w:rsidRPr="00681AE3">
        <w:rPr>
          <w:rFonts w:ascii="Verdana" w:hAnsi="Verdana"/>
          <w:sz w:val="20"/>
          <w:lang w:val="es-MX"/>
        </w:rPr>
        <w:t>Aide</w:t>
      </w:r>
      <w:proofErr w:type="spellEnd"/>
      <w:r w:rsidRPr="00681AE3">
        <w:rPr>
          <w:rFonts w:ascii="Verdana" w:hAnsi="Verdana"/>
          <w:sz w:val="20"/>
          <w:lang w:val="es-MX"/>
        </w:rPr>
        <w:t xml:space="preserve"> García Lobo, Hilda </w:t>
      </w:r>
      <w:proofErr w:type="spellStart"/>
      <w:r w:rsidRPr="00681AE3">
        <w:rPr>
          <w:rFonts w:ascii="Verdana" w:hAnsi="Verdana"/>
          <w:sz w:val="20"/>
          <w:lang w:val="es-MX"/>
        </w:rPr>
        <w:t>Estebana</w:t>
      </w:r>
      <w:proofErr w:type="spellEnd"/>
      <w:r w:rsidRPr="00681AE3">
        <w:rPr>
          <w:rFonts w:ascii="Verdana" w:hAnsi="Verdana"/>
          <w:sz w:val="20"/>
          <w:lang w:val="es-MX"/>
        </w:rPr>
        <w:t xml:space="preserve"> Hernández López y </w:t>
      </w:r>
      <w:proofErr w:type="spellStart"/>
      <w:r w:rsidRPr="00681AE3">
        <w:rPr>
          <w:rFonts w:ascii="Verdana" w:hAnsi="Verdana"/>
          <w:sz w:val="20"/>
          <w:lang w:val="es-MX"/>
        </w:rPr>
        <w:t>Dilcia</w:t>
      </w:r>
      <w:proofErr w:type="spellEnd"/>
      <w:r w:rsidRPr="00681AE3">
        <w:rPr>
          <w:rFonts w:ascii="Verdana" w:hAnsi="Verdana"/>
          <w:sz w:val="20"/>
          <w:lang w:val="es-MX"/>
        </w:rPr>
        <w:t xml:space="preserve"> Álvarez Ríos, en los términos de los párrafos 204 a 205 de la misma.</w:t>
      </w:r>
    </w:p>
    <w:p w:rsidR="00681AE3" w:rsidRPr="00681AE3" w:rsidRDefault="00681AE3" w:rsidP="00681AE3">
      <w:pPr>
        <w:ind w:left="360" w:hanging="360"/>
        <w:jc w:val="both"/>
        <w:rPr>
          <w:rFonts w:ascii="Verdana" w:hAnsi="Verdana"/>
          <w:sz w:val="20"/>
          <w:lang w:val="es-MX"/>
        </w:rPr>
      </w:pPr>
    </w:p>
    <w:p w:rsidR="00681AE3" w:rsidRPr="00681AE3" w:rsidRDefault="00681AE3" w:rsidP="00681AE3">
      <w:pPr>
        <w:rPr>
          <w:rFonts w:ascii="Verdana" w:hAnsi="Verdana"/>
          <w:b/>
          <w:sz w:val="20"/>
          <w:szCs w:val="20"/>
          <w:u w:val="single"/>
          <w:lang w:val="es-MX"/>
        </w:rPr>
      </w:pPr>
    </w:p>
    <w:sectPr w:rsidR="00681AE3" w:rsidRPr="00681A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E3" w:rsidRDefault="00681AE3" w:rsidP="00681AE3">
      <w:pPr>
        <w:spacing w:after="0" w:line="240" w:lineRule="auto"/>
      </w:pPr>
      <w:r>
        <w:separator/>
      </w:r>
    </w:p>
  </w:endnote>
  <w:endnote w:type="continuationSeparator" w:id="0">
    <w:p w:rsidR="00681AE3" w:rsidRDefault="00681AE3" w:rsidP="0068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E3" w:rsidRDefault="00681AE3" w:rsidP="00681AE3">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81AE3" w:rsidRPr="00681AE3" w:rsidRDefault="00681AE3" w:rsidP="00681AE3">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E3" w:rsidRDefault="00681AE3" w:rsidP="00681AE3">
      <w:pPr>
        <w:spacing w:after="0" w:line="240" w:lineRule="auto"/>
      </w:pPr>
      <w:r>
        <w:separator/>
      </w:r>
    </w:p>
  </w:footnote>
  <w:footnote w:type="continuationSeparator" w:id="0">
    <w:p w:rsidR="00681AE3" w:rsidRDefault="00681AE3" w:rsidP="00681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735231"/>
      <w:docPartObj>
        <w:docPartGallery w:val="Page Numbers (Top of Page)"/>
        <w:docPartUnique/>
      </w:docPartObj>
    </w:sdtPr>
    <w:sdtEndPr>
      <w:rPr>
        <w:rFonts w:ascii="Verdana" w:hAnsi="Verdana"/>
        <w:noProof/>
        <w:sz w:val="20"/>
        <w:szCs w:val="20"/>
      </w:rPr>
    </w:sdtEndPr>
    <w:sdtContent>
      <w:p w:rsidR="00681AE3" w:rsidRPr="00681AE3" w:rsidRDefault="00681AE3">
        <w:pPr>
          <w:pStyle w:val="Header"/>
          <w:jc w:val="right"/>
          <w:rPr>
            <w:rFonts w:ascii="Verdana" w:hAnsi="Verdana"/>
            <w:sz w:val="20"/>
            <w:szCs w:val="20"/>
          </w:rPr>
        </w:pPr>
        <w:r w:rsidRPr="00681AE3">
          <w:rPr>
            <w:rFonts w:ascii="Verdana" w:hAnsi="Verdana"/>
            <w:sz w:val="20"/>
            <w:szCs w:val="20"/>
          </w:rPr>
          <w:fldChar w:fldCharType="begin"/>
        </w:r>
        <w:r w:rsidRPr="00681AE3">
          <w:rPr>
            <w:rFonts w:ascii="Verdana" w:hAnsi="Verdana"/>
            <w:sz w:val="20"/>
            <w:szCs w:val="20"/>
          </w:rPr>
          <w:instrText xml:space="preserve"> PAGE   \* MERGEFORMAT </w:instrText>
        </w:r>
        <w:r w:rsidRPr="00681AE3">
          <w:rPr>
            <w:rFonts w:ascii="Verdana" w:hAnsi="Verdana"/>
            <w:sz w:val="20"/>
            <w:szCs w:val="20"/>
          </w:rPr>
          <w:fldChar w:fldCharType="separate"/>
        </w:r>
        <w:r>
          <w:rPr>
            <w:rFonts w:ascii="Verdana" w:hAnsi="Verdana"/>
            <w:noProof/>
            <w:sz w:val="20"/>
            <w:szCs w:val="20"/>
          </w:rPr>
          <w:t>1</w:t>
        </w:r>
        <w:r w:rsidRPr="00681AE3">
          <w:rPr>
            <w:rFonts w:ascii="Verdana" w:hAnsi="Verdana"/>
            <w:noProof/>
            <w:sz w:val="20"/>
            <w:szCs w:val="20"/>
          </w:rPr>
          <w:fldChar w:fldCharType="end"/>
        </w:r>
      </w:p>
    </w:sdtContent>
  </w:sdt>
  <w:p w:rsidR="00681AE3" w:rsidRDefault="00681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859AB"/>
    <w:multiLevelType w:val="hybridMultilevel"/>
    <w:tmpl w:val="1C58C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3"/>
    <w:rsid w:val="003A7E5E"/>
    <w:rsid w:val="00681AE3"/>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E3"/>
  </w:style>
  <w:style w:type="paragraph" w:styleId="Footer">
    <w:name w:val="footer"/>
    <w:basedOn w:val="Normal"/>
    <w:link w:val="FooterChar"/>
    <w:uiPriority w:val="99"/>
    <w:unhideWhenUsed/>
    <w:rsid w:val="0068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E3"/>
  </w:style>
  <w:style w:type="paragraph" w:styleId="ListParagraph">
    <w:name w:val="List Paragraph"/>
    <w:basedOn w:val="Normal"/>
    <w:uiPriority w:val="34"/>
    <w:qFormat/>
    <w:rsid w:val="00681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E3"/>
  </w:style>
  <w:style w:type="paragraph" w:styleId="Footer">
    <w:name w:val="footer"/>
    <w:basedOn w:val="Normal"/>
    <w:link w:val="FooterChar"/>
    <w:uiPriority w:val="99"/>
    <w:unhideWhenUsed/>
    <w:rsid w:val="0068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E3"/>
  </w:style>
  <w:style w:type="paragraph" w:styleId="ListParagraph">
    <w:name w:val="List Paragraph"/>
    <w:basedOn w:val="Normal"/>
    <w:uiPriority w:val="34"/>
    <w:qFormat/>
    <w:rsid w:val="0068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3851</Characters>
  <Application>Microsoft Office Word</Application>
  <DocSecurity>0</DocSecurity>
  <Lines>56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2016-10-26T20:49:00Z</dcterms:created>
  <dcterms:modified xsi:type="dcterms:W3CDTF">2016-10-26T20:55:00Z</dcterms:modified>
</cp:coreProperties>
</file>