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A0" w:rsidRPr="00C97EF1" w:rsidRDefault="00C01176" w:rsidP="00C861A0">
      <w:pPr>
        <w:jc w:val="center"/>
        <w:rPr>
          <w:rFonts w:ascii="Verdana" w:hAnsi="Verdana"/>
          <w:b/>
          <w:sz w:val="20"/>
          <w:szCs w:val="20"/>
          <w:u w:val="single"/>
          <w:lang w:val="es-MX"/>
        </w:rPr>
      </w:pPr>
      <w:r w:rsidRPr="00C97EF1">
        <w:rPr>
          <w:rFonts w:ascii="Verdana" w:hAnsi="Verdana"/>
          <w:b/>
          <w:sz w:val="20"/>
          <w:szCs w:val="20"/>
          <w:u w:val="single"/>
          <w:lang w:val="es-MX"/>
        </w:rPr>
        <w:t>Caso C</w:t>
      </w:r>
      <w:r w:rsidR="003E1679" w:rsidRPr="00C97EF1">
        <w:rPr>
          <w:rFonts w:ascii="Verdana" w:hAnsi="Verdana"/>
          <w:b/>
          <w:sz w:val="20"/>
          <w:szCs w:val="20"/>
          <w:u w:val="single"/>
          <w:lang w:val="es-MX"/>
        </w:rPr>
        <w:t xml:space="preserve">abrera García y Montiel Flores </w:t>
      </w:r>
      <w:r w:rsidR="003E1679" w:rsidRPr="00C97EF1">
        <w:rPr>
          <w:rFonts w:ascii="Verdana" w:hAnsi="Verdana"/>
          <w:b/>
          <w:i/>
          <w:sz w:val="20"/>
          <w:szCs w:val="20"/>
          <w:u w:val="single"/>
          <w:lang w:val="es-MX"/>
        </w:rPr>
        <w:t>V</w:t>
      </w:r>
      <w:r w:rsidRPr="00C97EF1">
        <w:rPr>
          <w:rFonts w:ascii="Verdana" w:hAnsi="Verdana"/>
          <w:b/>
          <w:i/>
          <w:sz w:val="20"/>
          <w:szCs w:val="20"/>
          <w:u w:val="single"/>
          <w:lang w:val="es-MX"/>
        </w:rPr>
        <w:t>s.</w:t>
      </w:r>
      <w:r w:rsidRPr="00C97EF1">
        <w:rPr>
          <w:rFonts w:ascii="Verdana" w:hAnsi="Verdana"/>
          <w:b/>
          <w:sz w:val="20"/>
          <w:szCs w:val="20"/>
          <w:u w:val="single"/>
          <w:lang w:val="es-MX"/>
        </w:rPr>
        <w:t xml:space="preserve"> México: r</w:t>
      </w:r>
      <w:r w:rsidR="00C411A8" w:rsidRPr="00C97EF1">
        <w:rPr>
          <w:rFonts w:ascii="Verdana" w:hAnsi="Verdana"/>
          <w:b/>
          <w:sz w:val="20"/>
          <w:szCs w:val="20"/>
          <w:u w:val="single"/>
          <w:lang w:val="es-MX"/>
        </w:rPr>
        <w:t xml:space="preserve">eparaciones declaradas cumplidas </w:t>
      </w:r>
    </w:p>
    <w:p w:rsidR="00C411A8" w:rsidRDefault="00C411A8" w:rsidP="00506724">
      <w:pPr>
        <w:pStyle w:val="ListParagraph"/>
        <w:numPr>
          <w:ilvl w:val="0"/>
          <w:numId w:val="1"/>
        </w:numPr>
        <w:tabs>
          <w:tab w:val="left" w:pos="709"/>
        </w:tabs>
        <w:spacing w:after="0" w:line="240" w:lineRule="auto"/>
        <w:jc w:val="both"/>
        <w:rPr>
          <w:rFonts w:ascii="Verdana" w:hAnsi="Verdana"/>
          <w:sz w:val="20"/>
          <w:szCs w:val="20"/>
          <w:lang w:val="es-MX"/>
        </w:rPr>
      </w:pPr>
      <w:r w:rsidRPr="00C411A8">
        <w:rPr>
          <w:rFonts w:ascii="Verdana" w:eastAsia="Times New Roman" w:hAnsi="Verdana"/>
          <w:sz w:val="20"/>
          <w:szCs w:val="20"/>
          <w:lang w:val="es-MX"/>
        </w:rPr>
        <w:t>R</w:t>
      </w:r>
      <w:r w:rsidRPr="00C411A8">
        <w:rPr>
          <w:rFonts w:ascii="Verdana" w:hAnsi="Verdana"/>
          <w:sz w:val="20"/>
          <w:szCs w:val="20"/>
          <w:lang w:val="es-MX"/>
        </w:rPr>
        <w:t xml:space="preserve">ealizar las publicaciones dispuestas, de conformidad con el párrafo 217 de la presente Sentencia. </w:t>
      </w:r>
    </w:p>
    <w:p w:rsidR="007D4BDF" w:rsidRPr="00C411A8" w:rsidRDefault="007D4BDF" w:rsidP="00506724">
      <w:pPr>
        <w:pStyle w:val="ListParagraph"/>
        <w:tabs>
          <w:tab w:val="left" w:pos="709"/>
        </w:tabs>
        <w:spacing w:after="0" w:line="240" w:lineRule="auto"/>
        <w:ind w:left="360"/>
        <w:jc w:val="both"/>
        <w:rPr>
          <w:rFonts w:ascii="Verdana" w:hAnsi="Verdana"/>
          <w:sz w:val="20"/>
          <w:szCs w:val="20"/>
          <w:lang w:val="es-MX"/>
        </w:rPr>
      </w:pPr>
    </w:p>
    <w:p w:rsidR="004B5E54" w:rsidRDefault="00C411A8" w:rsidP="00506724">
      <w:pPr>
        <w:pStyle w:val="ListParagraph"/>
        <w:numPr>
          <w:ilvl w:val="0"/>
          <w:numId w:val="1"/>
        </w:numPr>
        <w:tabs>
          <w:tab w:val="left" w:pos="709"/>
        </w:tabs>
        <w:spacing w:after="0" w:line="240" w:lineRule="auto"/>
        <w:jc w:val="both"/>
        <w:rPr>
          <w:rFonts w:ascii="Verdana" w:hAnsi="Verdana"/>
          <w:sz w:val="20"/>
          <w:szCs w:val="20"/>
          <w:lang w:val="es-MX"/>
        </w:rPr>
      </w:pPr>
      <w:r w:rsidRPr="007D4BDF">
        <w:rPr>
          <w:rFonts w:ascii="Verdana" w:hAnsi="Verdana"/>
          <w:sz w:val="20"/>
          <w:szCs w:val="20"/>
          <w:lang w:val="es-MX"/>
        </w:rPr>
        <w:t xml:space="preserve">Otorgar por una sola vez a cada una de las víctimas, la suma fijada en el párrafo 221 de la presente Sentencia, por concepto de tratamiento médico y psicológico especializado, así como por medicamentos y otros gastos conexos. </w:t>
      </w:r>
    </w:p>
    <w:p w:rsidR="007D4BDF" w:rsidRPr="007D4BDF" w:rsidRDefault="007D4BDF" w:rsidP="00506724">
      <w:pPr>
        <w:tabs>
          <w:tab w:val="left" w:pos="709"/>
        </w:tabs>
        <w:spacing w:after="0" w:line="240" w:lineRule="auto"/>
        <w:jc w:val="both"/>
        <w:rPr>
          <w:rFonts w:ascii="Verdana" w:hAnsi="Verdana"/>
          <w:sz w:val="20"/>
          <w:szCs w:val="20"/>
          <w:lang w:val="es-MX"/>
        </w:rPr>
      </w:pPr>
    </w:p>
    <w:p w:rsidR="004B5E54" w:rsidRPr="004B5E54" w:rsidRDefault="004B5E54" w:rsidP="00506724">
      <w:pPr>
        <w:pStyle w:val="ListParagraph"/>
        <w:numPr>
          <w:ilvl w:val="0"/>
          <w:numId w:val="1"/>
        </w:numPr>
        <w:spacing w:after="0" w:line="240" w:lineRule="auto"/>
        <w:jc w:val="both"/>
        <w:rPr>
          <w:lang w:val="es-MX"/>
        </w:rPr>
      </w:pPr>
      <w:r>
        <w:rPr>
          <w:rFonts w:ascii="Verdana" w:hAnsi="Verdana"/>
          <w:sz w:val="20"/>
          <w:szCs w:val="20"/>
          <w:lang w:val="es-MX"/>
        </w:rPr>
        <w:t>A</w:t>
      </w:r>
      <w:r w:rsidRPr="00C411A8">
        <w:rPr>
          <w:rFonts w:ascii="Verdana" w:hAnsi="Verdana"/>
          <w:sz w:val="20"/>
          <w:szCs w:val="20"/>
          <w:lang w:val="es-MX"/>
        </w:rPr>
        <w:t>doptar las reformas legislativas pertinentes para permitir que las personas que se vean afectadas por la intervención del fuero militar cuenten con un recurso efectivo para impugnar su competencia, de conformidad con lo establecido en el párrafo 235 de la presente Sentencia.</w:t>
      </w:r>
      <w:r>
        <w:rPr>
          <w:rFonts w:ascii="Verdana" w:hAnsi="Verdana"/>
          <w:sz w:val="20"/>
          <w:szCs w:val="20"/>
          <w:lang w:val="es-MX"/>
        </w:rPr>
        <w:t xml:space="preserve"> </w:t>
      </w:r>
    </w:p>
    <w:p w:rsidR="004B5E54" w:rsidRPr="004B5E54" w:rsidRDefault="004B5E54" w:rsidP="00506724">
      <w:pPr>
        <w:pStyle w:val="ListParagraph"/>
        <w:spacing w:after="0" w:line="240" w:lineRule="auto"/>
        <w:rPr>
          <w:rFonts w:ascii="Verdana" w:hAnsi="Verdana" w:cs="Verdana"/>
          <w:sz w:val="20"/>
          <w:szCs w:val="20"/>
          <w:lang w:val="es-MX"/>
        </w:rPr>
      </w:pPr>
    </w:p>
    <w:p w:rsidR="00C411A8" w:rsidRPr="004B5E54" w:rsidRDefault="00506724" w:rsidP="00506724">
      <w:pPr>
        <w:pStyle w:val="ListParagraph"/>
        <w:numPr>
          <w:ilvl w:val="0"/>
          <w:numId w:val="1"/>
        </w:numPr>
        <w:spacing w:after="0" w:line="240" w:lineRule="auto"/>
        <w:jc w:val="both"/>
        <w:rPr>
          <w:lang w:val="es-MX"/>
        </w:rPr>
      </w:pPr>
      <w:r>
        <w:rPr>
          <w:rFonts w:ascii="Verdana" w:hAnsi="Verdana" w:cs="Verdana"/>
          <w:sz w:val="20"/>
          <w:szCs w:val="20"/>
          <w:lang w:val="es-MX"/>
        </w:rPr>
        <w:t>C</w:t>
      </w:r>
      <w:r w:rsidR="00C411A8" w:rsidRPr="004B5E54">
        <w:rPr>
          <w:rFonts w:ascii="Verdana" w:hAnsi="Verdana" w:cs="Verdana"/>
          <w:sz w:val="20"/>
          <w:szCs w:val="20"/>
          <w:lang w:val="es-MX"/>
        </w:rPr>
        <w:t xml:space="preserve">ontinuar implementando programas y cursos permanentes de capacitación sobre investigación diligente en casos de tratos crueles, inhumanos o degradantes y tortura, así como </w:t>
      </w:r>
      <w:r w:rsidR="00C411A8" w:rsidRPr="004B5E54">
        <w:rPr>
          <w:rFonts w:ascii="Verdana" w:hAnsi="Verdana"/>
          <w:sz w:val="20"/>
          <w:szCs w:val="20"/>
          <w:lang w:val="es-MX"/>
        </w:rPr>
        <w:t xml:space="preserve">fortalecer las capacidades institucionales del Estado mediante la capacitación de funcionarios de las Fuerzas Armadas sobre los principios y normas de protección de los derechos humanos y sobre los límites a los que deben estar sometidos, de conformidad con lo establecido en el párrafo 245 de la presente Sentencia. </w:t>
      </w:r>
    </w:p>
    <w:p w:rsidR="00C411A8" w:rsidRPr="00C411A8" w:rsidRDefault="00C411A8" w:rsidP="00506724">
      <w:pPr>
        <w:pStyle w:val="ListParagraph"/>
        <w:tabs>
          <w:tab w:val="left" w:pos="709"/>
        </w:tabs>
        <w:spacing w:after="0" w:line="240" w:lineRule="auto"/>
        <w:ind w:left="1080"/>
        <w:jc w:val="both"/>
        <w:rPr>
          <w:rFonts w:ascii="Verdana" w:hAnsi="Verdana"/>
          <w:sz w:val="20"/>
          <w:szCs w:val="20"/>
          <w:lang w:val="es-MX"/>
        </w:rPr>
      </w:pPr>
    </w:p>
    <w:p w:rsidR="00C411A8" w:rsidRPr="00C411A8" w:rsidRDefault="00506724" w:rsidP="00506724">
      <w:pPr>
        <w:pStyle w:val="ListParagraph"/>
        <w:numPr>
          <w:ilvl w:val="0"/>
          <w:numId w:val="1"/>
        </w:numPr>
        <w:tabs>
          <w:tab w:val="left" w:pos="709"/>
        </w:tabs>
        <w:spacing w:after="0" w:line="240" w:lineRule="auto"/>
        <w:jc w:val="both"/>
        <w:rPr>
          <w:rFonts w:ascii="Verdana" w:hAnsi="Verdana"/>
          <w:sz w:val="20"/>
          <w:szCs w:val="20"/>
          <w:lang w:val="es-MX"/>
        </w:rPr>
      </w:pPr>
      <w:r>
        <w:rPr>
          <w:rFonts w:ascii="Verdana" w:hAnsi="Verdana"/>
          <w:sz w:val="20"/>
          <w:szCs w:val="20"/>
          <w:lang w:val="es-MX"/>
        </w:rPr>
        <w:t>P</w:t>
      </w:r>
      <w:r w:rsidR="00C411A8" w:rsidRPr="00C411A8">
        <w:rPr>
          <w:rFonts w:ascii="Verdana" w:hAnsi="Verdana"/>
          <w:sz w:val="20"/>
          <w:szCs w:val="20"/>
          <w:lang w:val="es-MX"/>
        </w:rPr>
        <w:t xml:space="preserve">agar, dentro del plazo de un año, las cantidades fijadas en los párrafos 253 y 261 de la presente Sentencia, por concepto de indemnización por daño material e inmaterial y por el reintegro de costas y gastos, según corresponda, en los términos de los párrafos 260 y 261 de la misma. </w:t>
      </w:r>
    </w:p>
    <w:p w:rsidR="00C411A8" w:rsidRDefault="00C411A8" w:rsidP="00506724">
      <w:pPr>
        <w:spacing w:after="0" w:line="240" w:lineRule="auto"/>
        <w:rPr>
          <w:sz w:val="16"/>
          <w:szCs w:val="16"/>
          <w:lang w:val="es-MX"/>
        </w:rPr>
      </w:pPr>
    </w:p>
    <w:p w:rsidR="00C411A8" w:rsidRPr="00506724" w:rsidRDefault="00C411A8" w:rsidP="00506724">
      <w:pPr>
        <w:spacing w:after="0" w:line="240" w:lineRule="auto"/>
        <w:rPr>
          <w:rFonts w:ascii="Verdana" w:hAnsi="Verdana"/>
          <w:b/>
          <w:sz w:val="20"/>
          <w:szCs w:val="20"/>
          <w:lang w:val="es-MX"/>
        </w:rPr>
      </w:pPr>
      <w:r w:rsidRPr="00506724">
        <w:rPr>
          <w:rFonts w:ascii="Verdana" w:hAnsi="Verdana"/>
          <w:b/>
          <w:sz w:val="20"/>
          <w:szCs w:val="20"/>
          <w:lang w:val="es-MX"/>
        </w:rPr>
        <w:t>Cumplimiento parcial:</w:t>
      </w:r>
    </w:p>
    <w:p w:rsidR="00506724" w:rsidRPr="00C411A8" w:rsidRDefault="00506724" w:rsidP="00506724">
      <w:pPr>
        <w:spacing w:after="0" w:line="240" w:lineRule="auto"/>
        <w:rPr>
          <w:rFonts w:ascii="Verdana" w:hAnsi="Verdana"/>
          <w:b/>
          <w:lang w:val="es-MX"/>
        </w:rPr>
      </w:pPr>
    </w:p>
    <w:p w:rsidR="004B5E54" w:rsidRDefault="004B5E54" w:rsidP="00506724">
      <w:pPr>
        <w:pStyle w:val="ListParagraph"/>
        <w:numPr>
          <w:ilvl w:val="0"/>
          <w:numId w:val="1"/>
        </w:numPr>
        <w:tabs>
          <w:tab w:val="left" w:pos="709"/>
        </w:tabs>
        <w:spacing w:after="0" w:line="240" w:lineRule="auto"/>
        <w:jc w:val="both"/>
        <w:rPr>
          <w:rFonts w:ascii="Verdana" w:hAnsi="Verdana"/>
          <w:sz w:val="20"/>
          <w:szCs w:val="20"/>
          <w:lang w:val="es-MX"/>
        </w:rPr>
      </w:pPr>
      <w:r>
        <w:rPr>
          <w:rFonts w:ascii="Verdana" w:hAnsi="Verdana"/>
          <w:sz w:val="20"/>
          <w:szCs w:val="20"/>
          <w:lang w:val="es-MX"/>
        </w:rPr>
        <w:t>A</w:t>
      </w:r>
      <w:r w:rsidRPr="00C411A8">
        <w:rPr>
          <w:rFonts w:ascii="Verdana" w:hAnsi="Verdana"/>
          <w:sz w:val="20"/>
          <w:szCs w:val="20"/>
          <w:lang w:val="es-MX"/>
        </w:rPr>
        <w:t>doptar las reformas legislativas pertinentes para compatibilizar el artículo 57 del Código de Justicia Militar con los estándares internacionales en la materia y la Convención Am</w:t>
      </w:r>
      <w:r>
        <w:rPr>
          <w:rFonts w:ascii="Verdana" w:hAnsi="Verdana"/>
          <w:sz w:val="20"/>
          <w:szCs w:val="20"/>
          <w:lang w:val="es-MX"/>
        </w:rPr>
        <w:t>ericana sobre Derechos Humanos.</w:t>
      </w:r>
    </w:p>
    <w:p w:rsidR="007D4BDF" w:rsidRDefault="007D4BDF" w:rsidP="00506724">
      <w:pPr>
        <w:pStyle w:val="ListParagraph"/>
        <w:tabs>
          <w:tab w:val="left" w:pos="709"/>
        </w:tabs>
        <w:spacing w:after="0" w:line="240" w:lineRule="auto"/>
        <w:ind w:left="360"/>
        <w:jc w:val="both"/>
        <w:rPr>
          <w:rFonts w:ascii="Verdana" w:hAnsi="Verdana"/>
          <w:sz w:val="20"/>
          <w:szCs w:val="20"/>
          <w:lang w:val="es-MX"/>
        </w:rPr>
      </w:pPr>
    </w:p>
    <w:p w:rsidR="00210E99" w:rsidRPr="008A64EC" w:rsidRDefault="00210E99" w:rsidP="00210E99">
      <w:pPr>
        <w:tabs>
          <w:tab w:val="left" w:pos="709"/>
        </w:tabs>
        <w:spacing w:after="0" w:line="240" w:lineRule="auto"/>
        <w:jc w:val="both"/>
        <w:rPr>
          <w:rFonts w:ascii="Verdana" w:hAnsi="Verdana"/>
          <w:sz w:val="20"/>
          <w:szCs w:val="20"/>
          <w:lang w:val="es-MX"/>
        </w:rPr>
      </w:pPr>
      <w:r>
        <w:rPr>
          <w:rFonts w:ascii="Verdana" w:hAnsi="Verdana"/>
          <w:sz w:val="20"/>
          <w:szCs w:val="20"/>
          <w:lang w:val="es-MX"/>
        </w:rPr>
        <w:t>En los C</w:t>
      </w:r>
      <w:r w:rsidRPr="008A64EC">
        <w:rPr>
          <w:rFonts w:ascii="Verdana" w:hAnsi="Verdana"/>
          <w:sz w:val="20"/>
          <w:szCs w:val="20"/>
          <w:lang w:val="es-MX"/>
        </w:rPr>
        <w:t>onsiderando</w:t>
      </w:r>
      <w:r>
        <w:rPr>
          <w:rFonts w:ascii="Verdana" w:hAnsi="Verdana"/>
          <w:sz w:val="20"/>
          <w:szCs w:val="20"/>
          <w:lang w:val="es-MX"/>
        </w:rPr>
        <w:t>s</w:t>
      </w:r>
      <w:r w:rsidRPr="008A64EC">
        <w:rPr>
          <w:rFonts w:ascii="Verdana" w:hAnsi="Verdana"/>
          <w:sz w:val="20"/>
          <w:szCs w:val="20"/>
          <w:lang w:val="es-MX"/>
        </w:rPr>
        <w:t xml:space="preserve"> 22</w:t>
      </w:r>
      <w:r>
        <w:rPr>
          <w:rFonts w:ascii="Verdana" w:hAnsi="Verdana"/>
          <w:sz w:val="20"/>
          <w:szCs w:val="20"/>
          <w:lang w:val="es-MX"/>
        </w:rPr>
        <w:t xml:space="preserve"> y 23</w:t>
      </w:r>
      <w:r w:rsidRPr="008A64EC">
        <w:rPr>
          <w:rFonts w:ascii="Verdana" w:hAnsi="Verdana"/>
          <w:sz w:val="20"/>
          <w:szCs w:val="20"/>
          <w:lang w:val="es-MX"/>
        </w:rPr>
        <w:t xml:space="preserve"> de la resolución de la Corte de 17 de abril de 2015 se identificaron las razones por las que continúa pendiente el cumplimiento de la presente medida de reparación: </w:t>
      </w:r>
    </w:p>
    <w:p w:rsidR="00210E99" w:rsidRDefault="00210E99" w:rsidP="00210E99">
      <w:pPr>
        <w:pStyle w:val="ListParagraph"/>
        <w:tabs>
          <w:tab w:val="left" w:pos="709"/>
        </w:tabs>
        <w:spacing w:after="0" w:line="240" w:lineRule="auto"/>
        <w:ind w:left="360"/>
        <w:jc w:val="both"/>
        <w:rPr>
          <w:rFonts w:ascii="Verdana" w:hAnsi="Verdana"/>
          <w:sz w:val="20"/>
          <w:szCs w:val="20"/>
          <w:lang w:val="es-MX"/>
        </w:rPr>
      </w:pPr>
    </w:p>
    <w:p w:rsidR="00210E99" w:rsidRPr="00135EFB" w:rsidRDefault="00210E99" w:rsidP="00210E99">
      <w:pPr>
        <w:spacing w:after="0" w:line="240" w:lineRule="auto"/>
        <w:ind w:left="360" w:right="720"/>
        <w:jc w:val="both"/>
        <w:rPr>
          <w:rFonts w:ascii="Verdana" w:hAnsi="Verdana"/>
          <w:sz w:val="18"/>
          <w:szCs w:val="18"/>
          <w:lang w:val="es-MX"/>
        </w:rPr>
      </w:pPr>
      <w:r w:rsidRPr="00135EFB">
        <w:rPr>
          <w:rFonts w:ascii="Verdana" w:hAnsi="Verdana"/>
          <w:sz w:val="18"/>
          <w:szCs w:val="18"/>
          <w:lang w:val="es-MX"/>
        </w:rPr>
        <w:t>22.</w:t>
      </w:r>
      <w:r w:rsidRPr="00135EFB">
        <w:rPr>
          <w:rFonts w:ascii="Verdana" w:hAnsi="Verdana"/>
          <w:sz w:val="18"/>
          <w:szCs w:val="18"/>
          <w:lang w:val="es-MX"/>
        </w:rPr>
        <w:tab/>
        <w:t xml:space="preserve">Debido a que el artículo 57.II.a) del Código de Justicia Militar reformado aún autoriza la intervención del fuero militar en los delitos en que el imputado y la víctima sean militares y en los delitos en que el imputado sea militar y no sea un civil el sujeto pasivo del delito o titular del bien </w:t>
      </w:r>
      <w:proofErr w:type="gramStart"/>
      <w:r w:rsidRPr="00135EFB">
        <w:rPr>
          <w:rFonts w:ascii="Verdana" w:hAnsi="Verdana"/>
          <w:sz w:val="18"/>
          <w:szCs w:val="18"/>
          <w:lang w:val="es-MX"/>
        </w:rPr>
        <w:t>jurídico ,</w:t>
      </w:r>
      <w:proofErr w:type="gramEnd"/>
      <w:r w:rsidRPr="00135EFB">
        <w:rPr>
          <w:rFonts w:ascii="Verdana" w:hAnsi="Verdana"/>
          <w:sz w:val="18"/>
          <w:szCs w:val="18"/>
          <w:lang w:val="es-MX"/>
        </w:rPr>
        <w:t xml:space="preserve"> la Corte estima que la actual legislación continúa sin adaptarse parcialmente (supra Considerando 17 y 20) a los siguientes estándares jurisprudenciales: </w:t>
      </w:r>
    </w:p>
    <w:p w:rsidR="00210E99" w:rsidRPr="00135EFB" w:rsidRDefault="00210E99" w:rsidP="00210E99">
      <w:pPr>
        <w:spacing w:after="0" w:line="240" w:lineRule="auto"/>
        <w:ind w:left="360" w:right="720"/>
        <w:jc w:val="both"/>
        <w:rPr>
          <w:rFonts w:ascii="Verdana" w:hAnsi="Verdana"/>
          <w:sz w:val="18"/>
          <w:szCs w:val="18"/>
          <w:lang w:val="es-MX"/>
        </w:rPr>
      </w:pPr>
      <w:r w:rsidRPr="00135EFB">
        <w:rPr>
          <w:rFonts w:ascii="Verdana" w:hAnsi="Verdana"/>
          <w:sz w:val="18"/>
          <w:szCs w:val="18"/>
          <w:lang w:val="es-MX"/>
        </w:rPr>
        <w:t xml:space="preserve">a) la jurisdicción militar no es el fuero competente para investigar y, en su caso, juzgar y sancionar a los autores de violaciones de derechos humanos, aun cuando el sujeto activo y pasivo sean militares, y </w:t>
      </w:r>
    </w:p>
    <w:p w:rsidR="00210E99" w:rsidRPr="00135EFB" w:rsidRDefault="00210E99" w:rsidP="00210E99">
      <w:pPr>
        <w:spacing w:after="0" w:line="240" w:lineRule="auto"/>
        <w:ind w:left="360" w:right="720"/>
        <w:jc w:val="both"/>
        <w:rPr>
          <w:rFonts w:ascii="Verdana" w:hAnsi="Verdana"/>
          <w:sz w:val="18"/>
          <w:szCs w:val="18"/>
          <w:lang w:val="es-MX"/>
        </w:rPr>
      </w:pPr>
      <w:r w:rsidRPr="00135EFB">
        <w:rPr>
          <w:rFonts w:ascii="Verdana" w:hAnsi="Verdana"/>
          <w:sz w:val="18"/>
          <w:szCs w:val="18"/>
          <w:lang w:val="es-MX"/>
        </w:rPr>
        <w:t xml:space="preserve">b) en el fuero militar sólo se puede juzgar la comisión de delitos o faltas (cometidos por militares activos) que por su propia naturaleza atenten contra bienes jurídicos propios del orden militar. </w:t>
      </w:r>
    </w:p>
    <w:p w:rsidR="00210E99" w:rsidRPr="00135EFB" w:rsidRDefault="00210E99" w:rsidP="00210E99">
      <w:pPr>
        <w:spacing w:after="0" w:line="240" w:lineRule="auto"/>
        <w:ind w:left="360" w:right="720"/>
        <w:jc w:val="both"/>
        <w:rPr>
          <w:rFonts w:ascii="Verdana" w:hAnsi="Verdana"/>
          <w:sz w:val="18"/>
          <w:szCs w:val="18"/>
          <w:lang w:val="es-MX"/>
        </w:rPr>
      </w:pPr>
      <w:r w:rsidRPr="00135EFB">
        <w:rPr>
          <w:rFonts w:ascii="Verdana" w:hAnsi="Verdana"/>
          <w:sz w:val="18"/>
          <w:szCs w:val="18"/>
          <w:lang w:val="es-MX"/>
        </w:rPr>
        <w:t>23.</w:t>
      </w:r>
      <w:r w:rsidRPr="00135EFB">
        <w:rPr>
          <w:rFonts w:ascii="Verdana" w:hAnsi="Verdana"/>
          <w:sz w:val="18"/>
          <w:szCs w:val="18"/>
          <w:lang w:val="es-MX"/>
        </w:rPr>
        <w:tab/>
        <w:t xml:space="preserve">A partir de las consideraciones expuestas, la Corte concluye que la reforma del artículo 57.II.a) del Código de Justicia Militar constituye una importante armonización del derecho interno mexicano con los estándares convencionales e internacionales en materia de </w:t>
      </w:r>
      <w:r w:rsidRPr="00135EFB">
        <w:rPr>
          <w:rFonts w:ascii="Verdana" w:hAnsi="Verdana"/>
          <w:sz w:val="18"/>
          <w:szCs w:val="18"/>
          <w:lang w:val="es-MX"/>
        </w:rPr>
        <w:lastRenderedPageBreak/>
        <w:t>jurisdicción penal militar, por lo que México ha dado cumplimiento parcial a la reparación ordenada en el punto resolutivo décimo quinto de la Sentencia del caso Cabrera García y Montiel Flores. Sin embargo, para poder evaluar el cumplimiento total de la medida de reparación ordenada se requiere que, con base en las consideraciones precedentes, México adopte las medidas necesarias a fin de adecuar de forma completa, en un plazo razonable, su derecho interno a los referidos estándares (supra Considerando 20 y 22).</w:t>
      </w:r>
    </w:p>
    <w:p w:rsidR="00506724" w:rsidRPr="00210E99" w:rsidRDefault="00506724" w:rsidP="00210E99">
      <w:pPr>
        <w:spacing w:after="0" w:line="240" w:lineRule="auto"/>
        <w:ind w:right="720"/>
        <w:jc w:val="both"/>
        <w:rPr>
          <w:rFonts w:ascii="Verdana" w:hAnsi="Verdana"/>
          <w:sz w:val="18"/>
          <w:szCs w:val="18"/>
          <w:lang w:val="es-MX"/>
        </w:rPr>
      </w:pPr>
      <w:bookmarkStart w:id="0" w:name="_GoBack"/>
      <w:bookmarkEnd w:id="0"/>
    </w:p>
    <w:sectPr w:rsidR="00506724" w:rsidRPr="00210E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84" w:rsidRDefault="00141D84" w:rsidP="00C97EF1">
      <w:pPr>
        <w:spacing w:after="0" w:line="240" w:lineRule="auto"/>
      </w:pPr>
      <w:r>
        <w:separator/>
      </w:r>
    </w:p>
  </w:endnote>
  <w:endnote w:type="continuationSeparator" w:id="0">
    <w:p w:rsidR="00141D84" w:rsidRDefault="00141D84" w:rsidP="00C9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F1" w:rsidRPr="00C97EF1" w:rsidRDefault="00C97EF1" w:rsidP="00C97EF1">
    <w:pPr>
      <w:jc w:val="both"/>
      <w:rPr>
        <w:rFonts w:ascii="Verdana" w:hAnsi="Verdana"/>
        <w:bCs/>
        <w:sz w:val="16"/>
        <w:szCs w:val="16"/>
        <w:lang w:val="es-MX"/>
      </w:rPr>
    </w:pPr>
    <w:r w:rsidRPr="00C97EF1">
      <w:rPr>
        <w:rFonts w:ascii="Verdana" w:hAnsi="Verdana"/>
        <w:bCs/>
        <w:sz w:val="16"/>
        <w:szCs w:val="16"/>
        <w:lang w:val="es-MX"/>
      </w:rPr>
      <w:t>La presente sistematización de información fue re</w:t>
    </w:r>
    <w:r w:rsidR="00521A8D">
      <w:rPr>
        <w:rFonts w:ascii="Verdana" w:hAnsi="Verdana"/>
        <w:bCs/>
        <w:sz w:val="16"/>
        <w:szCs w:val="16"/>
        <w:lang w:val="es-MX"/>
      </w:rPr>
      <w:t xml:space="preserve">alizada </w:t>
    </w:r>
    <w:r w:rsidRPr="00C97EF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97EF1" w:rsidRPr="00C97EF1" w:rsidRDefault="00C97EF1">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84" w:rsidRDefault="00141D84" w:rsidP="00C97EF1">
      <w:pPr>
        <w:spacing w:after="0" w:line="240" w:lineRule="auto"/>
      </w:pPr>
      <w:r>
        <w:separator/>
      </w:r>
    </w:p>
  </w:footnote>
  <w:footnote w:type="continuationSeparator" w:id="0">
    <w:p w:rsidR="00141D84" w:rsidRDefault="00141D84" w:rsidP="00C9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855610102"/>
      <w:docPartObj>
        <w:docPartGallery w:val="Page Numbers (Top of Page)"/>
        <w:docPartUnique/>
      </w:docPartObj>
    </w:sdtPr>
    <w:sdtEndPr>
      <w:rPr>
        <w:noProof/>
      </w:rPr>
    </w:sdtEndPr>
    <w:sdtContent>
      <w:p w:rsidR="00506724" w:rsidRPr="00506724" w:rsidRDefault="00506724">
        <w:pPr>
          <w:pStyle w:val="Header"/>
          <w:jc w:val="right"/>
          <w:rPr>
            <w:rFonts w:ascii="Verdana" w:hAnsi="Verdana"/>
            <w:sz w:val="20"/>
            <w:szCs w:val="20"/>
          </w:rPr>
        </w:pPr>
        <w:r w:rsidRPr="00506724">
          <w:rPr>
            <w:rFonts w:ascii="Verdana" w:hAnsi="Verdana"/>
            <w:sz w:val="20"/>
            <w:szCs w:val="20"/>
          </w:rPr>
          <w:fldChar w:fldCharType="begin"/>
        </w:r>
        <w:r w:rsidRPr="00506724">
          <w:rPr>
            <w:rFonts w:ascii="Verdana" w:hAnsi="Verdana"/>
            <w:sz w:val="20"/>
            <w:szCs w:val="20"/>
          </w:rPr>
          <w:instrText xml:space="preserve"> PAGE   \* MERGEFORMAT </w:instrText>
        </w:r>
        <w:r w:rsidRPr="00506724">
          <w:rPr>
            <w:rFonts w:ascii="Verdana" w:hAnsi="Verdana"/>
            <w:sz w:val="20"/>
            <w:szCs w:val="20"/>
          </w:rPr>
          <w:fldChar w:fldCharType="separate"/>
        </w:r>
        <w:r w:rsidR="00210E99">
          <w:rPr>
            <w:rFonts w:ascii="Verdana" w:hAnsi="Verdana"/>
            <w:noProof/>
            <w:sz w:val="20"/>
            <w:szCs w:val="20"/>
          </w:rPr>
          <w:t>1</w:t>
        </w:r>
        <w:r w:rsidRPr="00506724">
          <w:rPr>
            <w:rFonts w:ascii="Verdana" w:hAnsi="Verdana"/>
            <w:noProof/>
            <w:sz w:val="20"/>
            <w:szCs w:val="20"/>
          </w:rPr>
          <w:fldChar w:fldCharType="end"/>
        </w:r>
      </w:p>
    </w:sdtContent>
  </w:sdt>
  <w:p w:rsidR="00506724" w:rsidRPr="00506724" w:rsidRDefault="00506724">
    <w:pPr>
      <w:pStyle w:val="Head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C3733"/>
    <w:multiLevelType w:val="hybridMultilevel"/>
    <w:tmpl w:val="99FCC73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C24113"/>
    <w:multiLevelType w:val="hybridMultilevel"/>
    <w:tmpl w:val="82D4A2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D93EE1"/>
    <w:multiLevelType w:val="hybridMultilevel"/>
    <w:tmpl w:val="E6AC0980"/>
    <w:lvl w:ilvl="0" w:tplc="04090005">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342E9C"/>
    <w:multiLevelType w:val="hybridMultilevel"/>
    <w:tmpl w:val="C54449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A012FB"/>
    <w:multiLevelType w:val="hybridMultilevel"/>
    <w:tmpl w:val="24CCFEB6"/>
    <w:lvl w:ilvl="0" w:tplc="53D6A5D4">
      <w:start w:val="1"/>
      <w:numFmt w:val="decimal"/>
      <w:lvlText w:val="%1."/>
      <w:lvlJc w:val="left"/>
      <w:pPr>
        <w:ind w:left="360" w:hanging="360"/>
      </w:pPr>
      <w:rPr>
        <w:rFonts w:ascii="Verdana" w:eastAsia="Times New Roman" w:hAnsi="Verdana" w:cstheme="minorBidi"/>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939E1"/>
    <w:multiLevelType w:val="hybridMultilevel"/>
    <w:tmpl w:val="61DA3DEC"/>
    <w:lvl w:ilvl="0" w:tplc="04090005">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A8"/>
    <w:rsid w:val="000423C8"/>
    <w:rsid w:val="00141D84"/>
    <w:rsid w:val="00210E99"/>
    <w:rsid w:val="002B0088"/>
    <w:rsid w:val="003A7E5E"/>
    <w:rsid w:val="003E1679"/>
    <w:rsid w:val="00463764"/>
    <w:rsid w:val="004A3E6D"/>
    <w:rsid w:val="004B5E54"/>
    <w:rsid w:val="00506724"/>
    <w:rsid w:val="00521A8D"/>
    <w:rsid w:val="005D6B1E"/>
    <w:rsid w:val="007D4BDF"/>
    <w:rsid w:val="009832C0"/>
    <w:rsid w:val="00C01176"/>
    <w:rsid w:val="00C411A8"/>
    <w:rsid w:val="00C861A0"/>
    <w:rsid w:val="00C90AA1"/>
    <w:rsid w:val="00C97EF1"/>
    <w:rsid w:val="00FE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1A8"/>
    <w:pPr>
      <w:ind w:left="720"/>
      <w:contextualSpacing/>
    </w:pPr>
  </w:style>
  <w:style w:type="paragraph" w:styleId="Header">
    <w:name w:val="header"/>
    <w:basedOn w:val="Normal"/>
    <w:link w:val="HeaderChar"/>
    <w:uiPriority w:val="99"/>
    <w:unhideWhenUsed/>
    <w:rsid w:val="00C9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F1"/>
  </w:style>
  <w:style w:type="paragraph" w:styleId="Footer">
    <w:name w:val="footer"/>
    <w:basedOn w:val="Normal"/>
    <w:link w:val="FooterChar"/>
    <w:uiPriority w:val="99"/>
    <w:unhideWhenUsed/>
    <w:rsid w:val="00C9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1A8"/>
    <w:pPr>
      <w:ind w:left="720"/>
      <w:contextualSpacing/>
    </w:pPr>
  </w:style>
  <w:style w:type="paragraph" w:styleId="Header">
    <w:name w:val="header"/>
    <w:basedOn w:val="Normal"/>
    <w:link w:val="HeaderChar"/>
    <w:uiPriority w:val="99"/>
    <w:unhideWhenUsed/>
    <w:rsid w:val="00C9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F1"/>
  </w:style>
  <w:style w:type="paragraph" w:styleId="Footer">
    <w:name w:val="footer"/>
    <w:basedOn w:val="Normal"/>
    <w:link w:val="FooterChar"/>
    <w:uiPriority w:val="99"/>
    <w:unhideWhenUsed/>
    <w:rsid w:val="00C9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17</cp:revision>
  <cp:lastPrinted>2016-08-18T20:50:00Z</cp:lastPrinted>
  <dcterms:created xsi:type="dcterms:W3CDTF">2016-08-18T18:30:00Z</dcterms:created>
  <dcterms:modified xsi:type="dcterms:W3CDTF">2016-10-27T21:41:00Z</dcterms:modified>
</cp:coreProperties>
</file>