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0C7" w:rsidRPr="008A64EC" w:rsidRDefault="008B6F75" w:rsidP="001B50C7">
      <w:pPr>
        <w:jc w:val="center"/>
        <w:rPr>
          <w:rFonts w:ascii="Verdana" w:hAnsi="Verdana"/>
          <w:b/>
          <w:sz w:val="20"/>
          <w:szCs w:val="20"/>
          <w:lang w:val="es-MX"/>
        </w:rPr>
      </w:pPr>
      <w:r w:rsidRPr="008A64EC">
        <w:rPr>
          <w:rFonts w:ascii="Verdana" w:hAnsi="Verdana"/>
          <w:b/>
          <w:sz w:val="20"/>
          <w:szCs w:val="20"/>
          <w:u w:val="single"/>
          <w:lang w:val="es-MX"/>
        </w:rPr>
        <w:t>Caso C</w:t>
      </w:r>
      <w:r w:rsidR="00251A37" w:rsidRPr="008A64EC">
        <w:rPr>
          <w:rFonts w:ascii="Verdana" w:hAnsi="Verdana"/>
          <w:b/>
          <w:sz w:val="20"/>
          <w:szCs w:val="20"/>
          <w:u w:val="single"/>
          <w:lang w:val="es-MX"/>
        </w:rPr>
        <w:t xml:space="preserve">abrera García y Montiel Flores </w:t>
      </w:r>
      <w:r w:rsidR="00251A37" w:rsidRPr="008A64EC">
        <w:rPr>
          <w:rFonts w:ascii="Verdana" w:hAnsi="Verdana"/>
          <w:b/>
          <w:i/>
          <w:sz w:val="20"/>
          <w:szCs w:val="20"/>
          <w:u w:val="single"/>
          <w:lang w:val="es-MX"/>
        </w:rPr>
        <w:t>V</w:t>
      </w:r>
      <w:r w:rsidRPr="008A64EC">
        <w:rPr>
          <w:rFonts w:ascii="Verdana" w:hAnsi="Verdana"/>
          <w:b/>
          <w:i/>
          <w:sz w:val="20"/>
          <w:szCs w:val="20"/>
          <w:u w:val="single"/>
          <w:lang w:val="es-MX"/>
        </w:rPr>
        <w:t>s.</w:t>
      </w:r>
      <w:r w:rsidRPr="008A64EC">
        <w:rPr>
          <w:rFonts w:ascii="Verdana" w:hAnsi="Verdana"/>
          <w:b/>
          <w:sz w:val="20"/>
          <w:szCs w:val="20"/>
          <w:u w:val="single"/>
          <w:lang w:val="es-MX"/>
        </w:rPr>
        <w:t xml:space="preserve"> México: r</w:t>
      </w:r>
      <w:r w:rsidR="001B50C7" w:rsidRPr="008A64EC">
        <w:rPr>
          <w:rFonts w:ascii="Verdana" w:hAnsi="Verdana"/>
          <w:b/>
          <w:sz w:val="20"/>
          <w:szCs w:val="20"/>
          <w:u w:val="single"/>
          <w:lang w:val="es-MX"/>
        </w:rPr>
        <w:t>eparaciones pendientes de cumplimiento</w:t>
      </w:r>
      <w:r w:rsidR="001B50C7" w:rsidRPr="008A64EC">
        <w:rPr>
          <w:rFonts w:ascii="Verdana" w:hAnsi="Verdana"/>
          <w:b/>
          <w:sz w:val="20"/>
          <w:szCs w:val="20"/>
          <w:lang w:val="es-MX"/>
        </w:rPr>
        <w:t xml:space="preserve"> </w:t>
      </w:r>
    </w:p>
    <w:p w:rsidR="00FD59BA" w:rsidRPr="00FD59BA" w:rsidRDefault="00FD59BA" w:rsidP="00FD59BA">
      <w:pPr>
        <w:pStyle w:val="ListParagraph"/>
        <w:tabs>
          <w:tab w:val="left" w:pos="709"/>
        </w:tabs>
        <w:spacing w:after="80" w:line="240" w:lineRule="auto"/>
        <w:ind w:left="360"/>
        <w:jc w:val="both"/>
        <w:rPr>
          <w:rFonts w:ascii="Verdana" w:hAnsi="Verdana" w:cs="Verdana-Italic"/>
          <w:iCs/>
          <w:sz w:val="20"/>
          <w:szCs w:val="20"/>
          <w:lang w:val="es-MX" w:bidi="en-US"/>
        </w:rPr>
      </w:pPr>
    </w:p>
    <w:p w:rsidR="001B50C7" w:rsidRPr="00502EF9" w:rsidRDefault="001B50C7" w:rsidP="00BF65C7">
      <w:pPr>
        <w:pStyle w:val="ListParagraph"/>
        <w:numPr>
          <w:ilvl w:val="0"/>
          <w:numId w:val="1"/>
        </w:numPr>
        <w:tabs>
          <w:tab w:val="left" w:pos="709"/>
        </w:tabs>
        <w:spacing w:after="0" w:line="240" w:lineRule="auto"/>
        <w:jc w:val="both"/>
        <w:rPr>
          <w:rFonts w:ascii="Verdana" w:hAnsi="Verdana" w:cs="Verdana-Italic"/>
          <w:iCs/>
          <w:sz w:val="20"/>
          <w:szCs w:val="20"/>
          <w:lang w:val="es-MX" w:bidi="en-US"/>
        </w:rPr>
      </w:pPr>
      <w:r w:rsidRPr="0049360C">
        <w:rPr>
          <w:rFonts w:ascii="Verdana" w:hAnsi="Verdana"/>
          <w:sz w:val="20"/>
          <w:szCs w:val="20"/>
          <w:lang w:val="es-MX"/>
        </w:rPr>
        <w:t xml:space="preserve">Conducir eficazmente la investigación penal de los hechos del presente caso, en particular por los alegados actos de tortura en contra de los señores Cabrera y Montiel, para determinar las eventuales responsabilidades penales y, en su caso, aplicar efectivamente las sanciones y consecuencias que la ley prevea; así como adelantar las acciones disciplinarias, administrativas o penales pertinentes en el evento de que en la investigación de los mencionados hechos se demuestren irregularidades procesales e investigativas relacionadas con los mismos, de conformidad con el párrafo 215 de la presente Sentencia. </w:t>
      </w:r>
    </w:p>
    <w:p w:rsidR="00502EF9" w:rsidRPr="0049360C" w:rsidRDefault="00502EF9" w:rsidP="00BF65C7">
      <w:pPr>
        <w:pStyle w:val="ListParagraph"/>
        <w:tabs>
          <w:tab w:val="left" w:pos="709"/>
        </w:tabs>
        <w:spacing w:after="0" w:line="240" w:lineRule="auto"/>
        <w:ind w:left="360"/>
        <w:jc w:val="both"/>
        <w:rPr>
          <w:rFonts w:ascii="Verdana" w:hAnsi="Verdana" w:cs="Verdana-Italic"/>
          <w:iCs/>
          <w:sz w:val="20"/>
          <w:szCs w:val="20"/>
          <w:lang w:val="es-MX" w:bidi="en-US"/>
        </w:rPr>
      </w:pPr>
    </w:p>
    <w:p w:rsidR="001B50C7" w:rsidRDefault="00EC6B23" w:rsidP="00BF65C7">
      <w:pPr>
        <w:numPr>
          <w:ilvl w:val="0"/>
          <w:numId w:val="1"/>
        </w:numPr>
        <w:tabs>
          <w:tab w:val="left" w:pos="709"/>
        </w:tabs>
        <w:spacing w:after="0" w:line="240" w:lineRule="auto"/>
        <w:jc w:val="both"/>
        <w:rPr>
          <w:rFonts w:ascii="Verdana" w:hAnsi="Verdana"/>
          <w:sz w:val="20"/>
          <w:szCs w:val="20"/>
          <w:lang w:val="es-MX"/>
        </w:rPr>
      </w:pPr>
      <w:r>
        <w:rPr>
          <w:rFonts w:ascii="Verdana" w:hAnsi="Verdana"/>
          <w:sz w:val="20"/>
          <w:szCs w:val="20"/>
          <w:lang w:val="es-MX"/>
        </w:rPr>
        <w:t>E</w:t>
      </w:r>
      <w:r w:rsidR="001B50C7" w:rsidRPr="001B50C7">
        <w:rPr>
          <w:rFonts w:ascii="Verdana" w:hAnsi="Verdana"/>
          <w:sz w:val="20"/>
          <w:szCs w:val="20"/>
          <w:lang w:val="es-MX"/>
        </w:rPr>
        <w:t xml:space="preserve">n un plazo razonable y </w:t>
      </w:r>
      <w:r w:rsidR="001B50C7" w:rsidRPr="001B50C7">
        <w:rPr>
          <w:rFonts w:ascii="Verdana" w:hAnsi="Verdana" w:cs="Verdana"/>
          <w:sz w:val="20"/>
          <w:szCs w:val="20"/>
          <w:lang w:val="es-MX"/>
        </w:rPr>
        <w:t xml:space="preserve">en el marco del registro de detención que actualmente existe en México, adoptar las medidas complementarias para fortalecer el funcionamiento y utilidad del mismo, </w:t>
      </w:r>
      <w:r w:rsidR="001B50C7" w:rsidRPr="001B50C7">
        <w:rPr>
          <w:rFonts w:ascii="Verdana" w:hAnsi="Verdana"/>
          <w:sz w:val="20"/>
          <w:szCs w:val="20"/>
          <w:lang w:val="es-MX"/>
        </w:rPr>
        <w:t>de conformidad con lo establecido en el párraf</w:t>
      </w:r>
      <w:r w:rsidR="0049360C">
        <w:rPr>
          <w:rFonts w:ascii="Verdana" w:hAnsi="Verdana"/>
          <w:sz w:val="20"/>
          <w:szCs w:val="20"/>
          <w:lang w:val="es-MX"/>
        </w:rPr>
        <w:t>o 243 de la presente Sentencia.</w:t>
      </w:r>
    </w:p>
    <w:p w:rsidR="00502EF9" w:rsidRPr="00BF65C7" w:rsidRDefault="00502EF9" w:rsidP="00BF65C7">
      <w:pPr>
        <w:tabs>
          <w:tab w:val="left" w:pos="709"/>
        </w:tabs>
        <w:spacing w:after="0" w:line="240" w:lineRule="auto"/>
        <w:jc w:val="both"/>
        <w:rPr>
          <w:rFonts w:ascii="Verdana" w:hAnsi="Verdana"/>
          <w:sz w:val="20"/>
          <w:szCs w:val="20"/>
          <w:lang w:val="es-MX"/>
        </w:rPr>
      </w:pPr>
    </w:p>
    <w:p w:rsidR="001B50C7" w:rsidRDefault="00FD59BA" w:rsidP="00BF65C7">
      <w:pPr>
        <w:spacing w:after="0" w:line="240" w:lineRule="auto"/>
        <w:rPr>
          <w:rFonts w:ascii="Verdana" w:hAnsi="Verdana"/>
          <w:b/>
          <w:sz w:val="20"/>
          <w:szCs w:val="20"/>
          <w:lang w:val="es-MX"/>
        </w:rPr>
      </w:pPr>
      <w:r w:rsidRPr="00BF65C7">
        <w:rPr>
          <w:rFonts w:ascii="Verdana" w:hAnsi="Verdana"/>
          <w:b/>
          <w:sz w:val="20"/>
          <w:szCs w:val="20"/>
          <w:lang w:val="es-MX"/>
        </w:rPr>
        <w:t>C</w:t>
      </w:r>
      <w:r w:rsidR="001B50C7" w:rsidRPr="00BF65C7">
        <w:rPr>
          <w:rFonts w:ascii="Verdana" w:hAnsi="Verdana"/>
          <w:b/>
          <w:sz w:val="20"/>
          <w:szCs w:val="20"/>
          <w:lang w:val="es-MX"/>
        </w:rPr>
        <w:t>umplimiento parcial:</w:t>
      </w:r>
    </w:p>
    <w:p w:rsidR="00BF65C7" w:rsidRPr="00BF65C7" w:rsidRDefault="00BF65C7" w:rsidP="00BF65C7">
      <w:pPr>
        <w:spacing w:after="0" w:line="240" w:lineRule="auto"/>
        <w:rPr>
          <w:rFonts w:ascii="Verdana" w:hAnsi="Verdana"/>
          <w:b/>
          <w:sz w:val="20"/>
          <w:szCs w:val="20"/>
          <w:lang w:val="es-MX"/>
        </w:rPr>
      </w:pPr>
    </w:p>
    <w:p w:rsidR="004B151C" w:rsidRDefault="004B151C" w:rsidP="00BF65C7">
      <w:pPr>
        <w:pStyle w:val="ListParagraph"/>
        <w:numPr>
          <w:ilvl w:val="0"/>
          <w:numId w:val="1"/>
        </w:numPr>
        <w:tabs>
          <w:tab w:val="left" w:pos="709"/>
        </w:tabs>
        <w:spacing w:after="0" w:line="240" w:lineRule="auto"/>
        <w:jc w:val="both"/>
        <w:rPr>
          <w:rFonts w:ascii="Verdana" w:hAnsi="Verdana"/>
          <w:sz w:val="20"/>
          <w:szCs w:val="20"/>
          <w:lang w:val="es-MX"/>
        </w:rPr>
      </w:pPr>
      <w:r>
        <w:rPr>
          <w:rFonts w:ascii="Verdana" w:hAnsi="Verdana"/>
          <w:sz w:val="20"/>
          <w:szCs w:val="20"/>
          <w:lang w:val="es-MX"/>
        </w:rPr>
        <w:t>A</w:t>
      </w:r>
      <w:r w:rsidRPr="00C411A8">
        <w:rPr>
          <w:rFonts w:ascii="Verdana" w:hAnsi="Verdana"/>
          <w:sz w:val="20"/>
          <w:szCs w:val="20"/>
          <w:lang w:val="es-MX"/>
        </w:rPr>
        <w:t>doptar las reformas legislativas pertinentes para compatibilizar el artículo 57 del Código de Justicia Militar con los estándares internacionales en la materia y la Convención Am</w:t>
      </w:r>
      <w:r>
        <w:rPr>
          <w:rFonts w:ascii="Verdana" w:hAnsi="Verdana"/>
          <w:sz w:val="20"/>
          <w:szCs w:val="20"/>
          <w:lang w:val="es-MX"/>
        </w:rPr>
        <w:t>ericana sobre Derechos Humanos.</w:t>
      </w:r>
    </w:p>
    <w:p w:rsidR="004B151C" w:rsidRDefault="004B151C" w:rsidP="00BF65C7">
      <w:pPr>
        <w:pStyle w:val="ListParagraph"/>
        <w:tabs>
          <w:tab w:val="left" w:pos="709"/>
        </w:tabs>
        <w:spacing w:after="0" w:line="240" w:lineRule="auto"/>
        <w:ind w:left="360"/>
        <w:jc w:val="both"/>
        <w:rPr>
          <w:rFonts w:ascii="Verdana" w:hAnsi="Verdana"/>
          <w:sz w:val="20"/>
          <w:szCs w:val="20"/>
          <w:lang w:val="es-MX"/>
        </w:rPr>
      </w:pPr>
    </w:p>
    <w:p w:rsidR="004B151C" w:rsidRPr="008A64EC" w:rsidRDefault="00135EFB" w:rsidP="00BF65C7">
      <w:pPr>
        <w:tabs>
          <w:tab w:val="left" w:pos="709"/>
        </w:tabs>
        <w:spacing w:after="0" w:line="240" w:lineRule="auto"/>
        <w:jc w:val="both"/>
        <w:rPr>
          <w:rFonts w:ascii="Verdana" w:hAnsi="Verdana"/>
          <w:sz w:val="20"/>
          <w:szCs w:val="20"/>
          <w:lang w:val="es-MX"/>
        </w:rPr>
      </w:pPr>
      <w:r>
        <w:rPr>
          <w:rFonts w:ascii="Verdana" w:hAnsi="Verdana"/>
          <w:sz w:val="20"/>
          <w:szCs w:val="20"/>
          <w:lang w:val="es-MX"/>
        </w:rPr>
        <w:t>En los C</w:t>
      </w:r>
      <w:r w:rsidR="004B151C" w:rsidRPr="008A64EC">
        <w:rPr>
          <w:rFonts w:ascii="Verdana" w:hAnsi="Verdana"/>
          <w:sz w:val="20"/>
          <w:szCs w:val="20"/>
          <w:lang w:val="es-MX"/>
        </w:rPr>
        <w:t>onsiderando</w:t>
      </w:r>
      <w:r>
        <w:rPr>
          <w:rFonts w:ascii="Verdana" w:hAnsi="Verdana"/>
          <w:sz w:val="20"/>
          <w:szCs w:val="20"/>
          <w:lang w:val="es-MX"/>
        </w:rPr>
        <w:t>s</w:t>
      </w:r>
      <w:r w:rsidR="004B151C" w:rsidRPr="008A64EC">
        <w:rPr>
          <w:rFonts w:ascii="Verdana" w:hAnsi="Verdana"/>
          <w:sz w:val="20"/>
          <w:szCs w:val="20"/>
          <w:lang w:val="es-MX"/>
        </w:rPr>
        <w:t xml:space="preserve"> 22</w:t>
      </w:r>
      <w:r>
        <w:rPr>
          <w:rFonts w:ascii="Verdana" w:hAnsi="Verdana"/>
          <w:sz w:val="20"/>
          <w:szCs w:val="20"/>
          <w:lang w:val="es-MX"/>
        </w:rPr>
        <w:t xml:space="preserve"> y 23</w:t>
      </w:r>
      <w:r w:rsidR="004B151C" w:rsidRPr="008A64EC">
        <w:rPr>
          <w:rFonts w:ascii="Verdana" w:hAnsi="Verdana"/>
          <w:sz w:val="20"/>
          <w:szCs w:val="20"/>
          <w:lang w:val="es-MX"/>
        </w:rPr>
        <w:t xml:space="preserve"> de la resolución de la Corte de 17 de abril de 2015 se </w:t>
      </w:r>
      <w:r w:rsidR="00354AE9" w:rsidRPr="008A64EC">
        <w:rPr>
          <w:rFonts w:ascii="Verdana" w:hAnsi="Verdana"/>
          <w:sz w:val="20"/>
          <w:szCs w:val="20"/>
          <w:lang w:val="es-MX"/>
        </w:rPr>
        <w:t xml:space="preserve">identificaron las razones por las que continúa pendiente </w:t>
      </w:r>
      <w:r w:rsidR="004B151C" w:rsidRPr="008A64EC">
        <w:rPr>
          <w:rFonts w:ascii="Verdana" w:hAnsi="Verdana"/>
          <w:sz w:val="20"/>
          <w:szCs w:val="20"/>
          <w:lang w:val="es-MX"/>
        </w:rPr>
        <w:t>e</w:t>
      </w:r>
      <w:r w:rsidR="00354AE9" w:rsidRPr="008A64EC">
        <w:rPr>
          <w:rFonts w:ascii="Verdana" w:hAnsi="Verdana"/>
          <w:sz w:val="20"/>
          <w:szCs w:val="20"/>
          <w:lang w:val="es-MX"/>
        </w:rPr>
        <w:t>l</w:t>
      </w:r>
      <w:r w:rsidR="004B151C" w:rsidRPr="008A64EC">
        <w:rPr>
          <w:rFonts w:ascii="Verdana" w:hAnsi="Verdana"/>
          <w:sz w:val="20"/>
          <w:szCs w:val="20"/>
          <w:lang w:val="es-MX"/>
        </w:rPr>
        <w:t xml:space="preserve"> cumplimiento </w:t>
      </w:r>
      <w:r w:rsidR="00354AE9" w:rsidRPr="008A64EC">
        <w:rPr>
          <w:rFonts w:ascii="Verdana" w:hAnsi="Verdana"/>
          <w:sz w:val="20"/>
          <w:szCs w:val="20"/>
          <w:lang w:val="es-MX"/>
        </w:rPr>
        <w:t xml:space="preserve">de </w:t>
      </w:r>
      <w:r w:rsidR="004B151C" w:rsidRPr="008A64EC">
        <w:rPr>
          <w:rFonts w:ascii="Verdana" w:hAnsi="Verdana"/>
          <w:sz w:val="20"/>
          <w:szCs w:val="20"/>
          <w:lang w:val="es-MX"/>
        </w:rPr>
        <w:t xml:space="preserve">la presente medida de reparación: </w:t>
      </w:r>
    </w:p>
    <w:p w:rsidR="004B151C" w:rsidRDefault="004B151C" w:rsidP="00BF65C7">
      <w:pPr>
        <w:pStyle w:val="ListParagraph"/>
        <w:tabs>
          <w:tab w:val="left" w:pos="709"/>
        </w:tabs>
        <w:spacing w:after="0" w:line="240" w:lineRule="auto"/>
        <w:ind w:left="360"/>
        <w:jc w:val="both"/>
        <w:rPr>
          <w:rFonts w:ascii="Verdana" w:hAnsi="Verdana"/>
          <w:sz w:val="20"/>
          <w:szCs w:val="20"/>
          <w:lang w:val="es-MX"/>
        </w:rPr>
      </w:pPr>
    </w:p>
    <w:p w:rsidR="00135EFB" w:rsidRPr="00135EFB" w:rsidRDefault="00135EFB" w:rsidP="00135EFB">
      <w:pPr>
        <w:spacing w:after="0" w:line="240" w:lineRule="auto"/>
        <w:ind w:left="360" w:right="720"/>
        <w:jc w:val="both"/>
        <w:rPr>
          <w:rFonts w:ascii="Verdana" w:hAnsi="Verdana"/>
          <w:sz w:val="18"/>
          <w:szCs w:val="18"/>
          <w:lang w:val="es-MX"/>
        </w:rPr>
      </w:pPr>
      <w:r w:rsidRPr="00135EFB">
        <w:rPr>
          <w:rFonts w:ascii="Verdana" w:hAnsi="Verdana"/>
          <w:sz w:val="18"/>
          <w:szCs w:val="18"/>
          <w:lang w:val="es-MX"/>
        </w:rPr>
        <w:t>22.</w:t>
      </w:r>
      <w:r w:rsidRPr="00135EFB">
        <w:rPr>
          <w:rFonts w:ascii="Verdana" w:hAnsi="Verdana"/>
          <w:sz w:val="18"/>
          <w:szCs w:val="18"/>
          <w:lang w:val="es-MX"/>
        </w:rPr>
        <w:tab/>
        <w:t xml:space="preserve">Debido a que el artículo 57.II.a) del Código de Justicia Militar reformado aún autoriza la intervención del fuero militar en los delitos en que el imputado y la víctima sean militares y en los delitos en que el imputado sea militar y no sea un civil el sujeto pasivo del delito o titular del bien </w:t>
      </w:r>
      <w:proofErr w:type="gramStart"/>
      <w:r w:rsidRPr="00135EFB">
        <w:rPr>
          <w:rFonts w:ascii="Verdana" w:hAnsi="Verdana"/>
          <w:sz w:val="18"/>
          <w:szCs w:val="18"/>
          <w:lang w:val="es-MX"/>
        </w:rPr>
        <w:t>jurídico ,</w:t>
      </w:r>
      <w:proofErr w:type="gramEnd"/>
      <w:r w:rsidRPr="00135EFB">
        <w:rPr>
          <w:rFonts w:ascii="Verdana" w:hAnsi="Verdana"/>
          <w:sz w:val="18"/>
          <w:szCs w:val="18"/>
          <w:lang w:val="es-MX"/>
        </w:rPr>
        <w:t xml:space="preserve"> la Corte estima que la actual legislación continúa sin adaptarse parcialmente (supra Considerando 17 y 20) a los siguientes estándares jurisprudenciales: </w:t>
      </w:r>
    </w:p>
    <w:p w:rsidR="00135EFB" w:rsidRPr="00135EFB" w:rsidRDefault="00135EFB" w:rsidP="00135EFB">
      <w:pPr>
        <w:spacing w:after="0" w:line="240" w:lineRule="auto"/>
        <w:ind w:left="360" w:right="720"/>
        <w:jc w:val="both"/>
        <w:rPr>
          <w:rFonts w:ascii="Verdana" w:hAnsi="Verdana"/>
          <w:sz w:val="18"/>
          <w:szCs w:val="18"/>
          <w:lang w:val="es-MX"/>
        </w:rPr>
      </w:pPr>
      <w:r w:rsidRPr="00135EFB">
        <w:rPr>
          <w:rFonts w:ascii="Verdana" w:hAnsi="Verdana"/>
          <w:sz w:val="18"/>
          <w:szCs w:val="18"/>
          <w:lang w:val="es-MX"/>
        </w:rPr>
        <w:t>a) la jurisdicción militar no es el fuero competente para investigar y, en su caso, juzgar y sancionar a los autores de violaciones de derechos</w:t>
      </w:r>
      <w:bookmarkStart w:id="0" w:name="_GoBack"/>
      <w:bookmarkEnd w:id="0"/>
      <w:r w:rsidRPr="00135EFB">
        <w:rPr>
          <w:rFonts w:ascii="Verdana" w:hAnsi="Verdana"/>
          <w:sz w:val="18"/>
          <w:szCs w:val="18"/>
          <w:lang w:val="es-MX"/>
        </w:rPr>
        <w:t xml:space="preserve"> humanos, aun cuando el sujeto act</w:t>
      </w:r>
      <w:r w:rsidRPr="00135EFB">
        <w:rPr>
          <w:rFonts w:ascii="Verdana" w:hAnsi="Verdana"/>
          <w:sz w:val="18"/>
          <w:szCs w:val="18"/>
          <w:lang w:val="es-MX"/>
        </w:rPr>
        <w:t xml:space="preserve">ivo y pasivo sean militares, y </w:t>
      </w:r>
    </w:p>
    <w:p w:rsidR="00135EFB" w:rsidRPr="00135EFB" w:rsidRDefault="00135EFB" w:rsidP="00135EFB">
      <w:pPr>
        <w:spacing w:after="0" w:line="240" w:lineRule="auto"/>
        <w:ind w:left="360" w:right="720"/>
        <w:jc w:val="both"/>
        <w:rPr>
          <w:rFonts w:ascii="Verdana" w:hAnsi="Verdana"/>
          <w:sz w:val="18"/>
          <w:szCs w:val="18"/>
          <w:lang w:val="es-MX"/>
        </w:rPr>
      </w:pPr>
      <w:r w:rsidRPr="00135EFB">
        <w:rPr>
          <w:rFonts w:ascii="Verdana" w:hAnsi="Verdana"/>
          <w:sz w:val="18"/>
          <w:szCs w:val="18"/>
          <w:lang w:val="es-MX"/>
        </w:rPr>
        <w:t>b) en el fuero militar sólo se puede juzgar la comisión de delitos o faltas (cometidos por militares activos) que por su propia naturaleza atenten contra bienes jurídi</w:t>
      </w:r>
      <w:r w:rsidRPr="00135EFB">
        <w:rPr>
          <w:rFonts w:ascii="Verdana" w:hAnsi="Verdana"/>
          <w:sz w:val="18"/>
          <w:szCs w:val="18"/>
          <w:lang w:val="es-MX"/>
        </w:rPr>
        <w:t xml:space="preserve">cos propios del orden militar. </w:t>
      </w:r>
    </w:p>
    <w:p w:rsidR="001B50C7" w:rsidRPr="00135EFB" w:rsidRDefault="00135EFB" w:rsidP="00135EFB">
      <w:pPr>
        <w:spacing w:after="0" w:line="240" w:lineRule="auto"/>
        <w:ind w:left="360" w:right="720"/>
        <w:jc w:val="both"/>
        <w:rPr>
          <w:rFonts w:ascii="Verdana" w:hAnsi="Verdana"/>
          <w:sz w:val="18"/>
          <w:szCs w:val="18"/>
          <w:lang w:val="es-MX"/>
        </w:rPr>
      </w:pPr>
      <w:r w:rsidRPr="00135EFB">
        <w:rPr>
          <w:rFonts w:ascii="Verdana" w:hAnsi="Verdana"/>
          <w:sz w:val="18"/>
          <w:szCs w:val="18"/>
          <w:lang w:val="es-MX"/>
        </w:rPr>
        <w:t>23.</w:t>
      </w:r>
      <w:r w:rsidRPr="00135EFB">
        <w:rPr>
          <w:rFonts w:ascii="Verdana" w:hAnsi="Verdana"/>
          <w:sz w:val="18"/>
          <w:szCs w:val="18"/>
          <w:lang w:val="es-MX"/>
        </w:rPr>
        <w:tab/>
        <w:t>A partir de las consideraciones expuestas, la Corte concluye que la reforma del artículo 57.II.a) del Código de Justicia Militar constituye una importante armonización del derecho interno mexicano con los estándares convencionales e internacionales en materia de jurisdicción penal militar, por lo que México ha dado cumplimiento parcial a la reparación ordenada en el punto resolutivo décimo quinto de la Sentencia del caso Cabrera García y Montiel Flores. Sin embargo, para poder evaluar el cumplimiento total de la medida de reparación ordenada se requiere que, con base en las consideraciones precedentes, México adopte las medidas necesarias a fin de adecuar de forma completa, en un plazo razonable, su derecho interno a los referidos estándares (supra Considerando 20 y 22).</w:t>
      </w:r>
    </w:p>
    <w:sectPr w:rsidR="001B50C7" w:rsidRPr="00135EF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435" w:rsidRDefault="00934435" w:rsidP="008A64EC">
      <w:pPr>
        <w:spacing w:after="0" w:line="240" w:lineRule="auto"/>
      </w:pPr>
      <w:r>
        <w:separator/>
      </w:r>
    </w:p>
  </w:endnote>
  <w:endnote w:type="continuationSeparator" w:id="0">
    <w:p w:rsidR="00934435" w:rsidRDefault="00934435" w:rsidP="008A6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Verdana-Italic">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3A4" w:rsidRPr="00C97EF1" w:rsidRDefault="003823A4" w:rsidP="003823A4">
    <w:pPr>
      <w:jc w:val="both"/>
      <w:rPr>
        <w:rFonts w:ascii="Verdana" w:hAnsi="Verdana"/>
        <w:bCs/>
        <w:sz w:val="16"/>
        <w:szCs w:val="16"/>
        <w:lang w:val="es-MX"/>
      </w:rPr>
    </w:pPr>
    <w:r w:rsidRPr="00C97EF1">
      <w:rPr>
        <w:rFonts w:ascii="Verdana" w:hAnsi="Verdana"/>
        <w:bCs/>
        <w:sz w:val="16"/>
        <w:szCs w:val="16"/>
        <w:lang w:val="es-MX"/>
      </w:rPr>
      <w:t>La presente sistematización de información fue re</w:t>
    </w:r>
    <w:r>
      <w:rPr>
        <w:rFonts w:ascii="Verdana" w:hAnsi="Verdana"/>
        <w:bCs/>
        <w:sz w:val="16"/>
        <w:szCs w:val="16"/>
        <w:lang w:val="es-MX"/>
      </w:rPr>
      <w:t xml:space="preserve">alizada </w:t>
    </w:r>
    <w:r w:rsidRPr="00C97EF1">
      <w:rPr>
        <w:rFonts w:ascii="Verdana" w:hAnsi="Verdana"/>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8A64EC" w:rsidRPr="008A64EC" w:rsidRDefault="008A64EC">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435" w:rsidRDefault="00934435" w:rsidP="008A64EC">
      <w:pPr>
        <w:spacing w:after="0" w:line="240" w:lineRule="auto"/>
      </w:pPr>
      <w:r>
        <w:separator/>
      </w:r>
    </w:p>
  </w:footnote>
  <w:footnote w:type="continuationSeparator" w:id="0">
    <w:p w:rsidR="00934435" w:rsidRDefault="00934435" w:rsidP="008A64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501243"/>
      <w:docPartObj>
        <w:docPartGallery w:val="Page Numbers (Top of Page)"/>
        <w:docPartUnique/>
      </w:docPartObj>
    </w:sdtPr>
    <w:sdtEndPr>
      <w:rPr>
        <w:noProof/>
      </w:rPr>
    </w:sdtEndPr>
    <w:sdtContent>
      <w:p w:rsidR="00BF65C7" w:rsidRDefault="00BF65C7">
        <w:pPr>
          <w:pStyle w:val="Header"/>
          <w:jc w:val="right"/>
        </w:pPr>
        <w:r w:rsidRPr="00BF65C7">
          <w:rPr>
            <w:rFonts w:ascii="Verdana" w:hAnsi="Verdana"/>
            <w:sz w:val="20"/>
            <w:szCs w:val="20"/>
          </w:rPr>
          <w:fldChar w:fldCharType="begin"/>
        </w:r>
        <w:r w:rsidRPr="00BF65C7">
          <w:rPr>
            <w:rFonts w:ascii="Verdana" w:hAnsi="Verdana"/>
            <w:sz w:val="20"/>
            <w:szCs w:val="20"/>
          </w:rPr>
          <w:instrText xml:space="preserve"> PAGE   \* MERGEFORMAT </w:instrText>
        </w:r>
        <w:r w:rsidRPr="00BF65C7">
          <w:rPr>
            <w:rFonts w:ascii="Verdana" w:hAnsi="Verdana"/>
            <w:sz w:val="20"/>
            <w:szCs w:val="20"/>
          </w:rPr>
          <w:fldChar w:fldCharType="separate"/>
        </w:r>
        <w:r w:rsidR="00135EFB">
          <w:rPr>
            <w:rFonts w:ascii="Verdana" w:hAnsi="Verdana"/>
            <w:noProof/>
            <w:sz w:val="20"/>
            <w:szCs w:val="20"/>
          </w:rPr>
          <w:t>1</w:t>
        </w:r>
        <w:r w:rsidRPr="00BF65C7">
          <w:rPr>
            <w:rFonts w:ascii="Verdana" w:hAnsi="Verdana"/>
            <w:noProof/>
            <w:sz w:val="20"/>
            <w:szCs w:val="20"/>
          </w:rPr>
          <w:fldChar w:fldCharType="end"/>
        </w:r>
      </w:p>
    </w:sdtContent>
  </w:sdt>
  <w:p w:rsidR="00BF65C7" w:rsidRDefault="00BF65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54902"/>
    <w:multiLevelType w:val="hybridMultilevel"/>
    <w:tmpl w:val="3ECA17E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CED64AD"/>
    <w:multiLevelType w:val="hybridMultilevel"/>
    <w:tmpl w:val="A04E749E"/>
    <w:lvl w:ilvl="0" w:tplc="33440428">
      <w:start w:val="1"/>
      <w:numFmt w:val="lowerRoman"/>
      <w:lvlText w:val="%1."/>
      <w:lvlJc w:val="right"/>
      <w:pPr>
        <w:ind w:left="1440" w:hanging="360"/>
      </w:pPr>
      <w:rPr>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7CF5930"/>
    <w:multiLevelType w:val="hybridMultilevel"/>
    <w:tmpl w:val="826CF82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EA012FB"/>
    <w:multiLevelType w:val="hybridMultilevel"/>
    <w:tmpl w:val="0B10ACA0"/>
    <w:lvl w:ilvl="0" w:tplc="01AA3206">
      <w:start w:val="1"/>
      <w:numFmt w:val="decimal"/>
      <w:lvlText w:val="%1."/>
      <w:lvlJc w:val="left"/>
      <w:pPr>
        <w:ind w:left="360" w:hanging="360"/>
      </w:pPr>
      <w:rPr>
        <w:rFonts w:ascii="Verdana" w:eastAsiaTheme="minorHAnsi" w:hAnsi="Verdana" w:cstheme="minorBidi"/>
        <w:b w:val="0"/>
        <w:color w:val="auto"/>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0C7"/>
    <w:rsid w:val="00135EFB"/>
    <w:rsid w:val="00174F47"/>
    <w:rsid w:val="001B50C7"/>
    <w:rsid w:val="00251A37"/>
    <w:rsid w:val="00354AE9"/>
    <w:rsid w:val="003823A4"/>
    <w:rsid w:val="003A7E5E"/>
    <w:rsid w:val="00437B51"/>
    <w:rsid w:val="0049360C"/>
    <w:rsid w:val="00496713"/>
    <w:rsid w:val="004B151C"/>
    <w:rsid w:val="00502EF9"/>
    <w:rsid w:val="005F4573"/>
    <w:rsid w:val="008A64EC"/>
    <w:rsid w:val="008B6F75"/>
    <w:rsid w:val="008F55BE"/>
    <w:rsid w:val="00934435"/>
    <w:rsid w:val="009832C0"/>
    <w:rsid w:val="00BF65C7"/>
    <w:rsid w:val="00CD2ED2"/>
    <w:rsid w:val="00EC6B23"/>
    <w:rsid w:val="00F470BD"/>
    <w:rsid w:val="00FD5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0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0C7"/>
    <w:pPr>
      <w:ind w:left="720"/>
      <w:contextualSpacing/>
    </w:pPr>
  </w:style>
  <w:style w:type="paragraph" w:styleId="Header">
    <w:name w:val="header"/>
    <w:basedOn w:val="Normal"/>
    <w:link w:val="HeaderChar"/>
    <w:uiPriority w:val="99"/>
    <w:unhideWhenUsed/>
    <w:rsid w:val="008A6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4EC"/>
  </w:style>
  <w:style w:type="paragraph" w:styleId="Footer">
    <w:name w:val="footer"/>
    <w:basedOn w:val="Normal"/>
    <w:link w:val="FooterChar"/>
    <w:uiPriority w:val="99"/>
    <w:unhideWhenUsed/>
    <w:rsid w:val="008A6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4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0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0C7"/>
    <w:pPr>
      <w:ind w:left="720"/>
      <w:contextualSpacing/>
    </w:pPr>
  </w:style>
  <w:style w:type="paragraph" w:styleId="Header">
    <w:name w:val="header"/>
    <w:basedOn w:val="Normal"/>
    <w:link w:val="HeaderChar"/>
    <w:uiPriority w:val="99"/>
    <w:unhideWhenUsed/>
    <w:rsid w:val="008A6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4EC"/>
  </w:style>
  <w:style w:type="paragraph" w:styleId="Footer">
    <w:name w:val="footer"/>
    <w:basedOn w:val="Normal"/>
    <w:link w:val="FooterChar"/>
    <w:uiPriority w:val="99"/>
    <w:unhideWhenUsed/>
    <w:rsid w:val="008A6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Regina Castro</cp:lastModifiedBy>
  <cp:revision>18</cp:revision>
  <cp:lastPrinted>2016-08-18T20:50:00Z</cp:lastPrinted>
  <dcterms:created xsi:type="dcterms:W3CDTF">2016-08-18T18:41:00Z</dcterms:created>
  <dcterms:modified xsi:type="dcterms:W3CDTF">2016-10-27T21:40:00Z</dcterms:modified>
</cp:coreProperties>
</file>