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63BB" w14:textId="77777777" w:rsidR="006E7F48" w:rsidRPr="00965C35" w:rsidRDefault="00151E18" w:rsidP="00C178BC">
      <w:pPr>
        <w:ind w:firstLine="720"/>
        <w:jc w:val="center"/>
        <w:rPr>
          <w:b/>
          <w:iCs/>
          <w:sz w:val="20"/>
          <w:szCs w:val="20"/>
          <w:u w:val="single"/>
          <w:lang w:val="es-CR"/>
        </w:rPr>
      </w:pPr>
      <w:r w:rsidRPr="00965C35">
        <w:rPr>
          <w:b/>
          <w:iCs/>
          <w:sz w:val="20"/>
          <w:szCs w:val="20"/>
          <w:u w:val="single"/>
          <w:lang w:val="es-CR"/>
        </w:rPr>
        <w:t>Caso García Cruz y Sánchez Silvestre Vs. Estados Unidos Mexicanos</w:t>
      </w:r>
      <w:r w:rsidR="00EA0D60" w:rsidRPr="00965C35">
        <w:rPr>
          <w:b/>
          <w:iCs/>
          <w:sz w:val="20"/>
          <w:szCs w:val="20"/>
          <w:u w:val="single"/>
          <w:lang w:val="es-CR"/>
        </w:rPr>
        <w:t>: reparaciones declaradas cumplidas</w:t>
      </w:r>
    </w:p>
    <w:p w14:paraId="35D3BD4C" w14:textId="1663A3B8" w:rsidR="00742038" w:rsidRDefault="00742038" w:rsidP="00742038">
      <w:pPr>
        <w:rPr>
          <w:sz w:val="20"/>
          <w:szCs w:val="20"/>
        </w:rPr>
      </w:pPr>
    </w:p>
    <w:p w14:paraId="078C8B56" w14:textId="77777777" w:rsidR="00842CB3" w:rsidRPr="00C77C0C" w:rsidRDefault="00842CB3" w:rsidP="00742038">
      <w:pPr>
        <w:rPr>
          <w:sz w:val="20"/>
          <w:szCs w:val="20"/>
        </w:rPr>
      </w:pPr>
    </w:p>
    <w:p w14:paraId="1711E793" w14:textId="77777777" w:rsidR="00742038" w:rsidRDefault="00742038" w:rsidP="00C178BC">
      <w:pPr>
        <w:ind w:right="-518"/>
        <w:jc w:val="both"/>
        <w:rPr>
          <w:sz w:val="20"/>
          <w:szCs w:val="20"/>
        </w:rPr>
      </w:pPr>
      <w:r w:rsidRPr="00742038">
        <w:rPr>
          <w:sz w:val="20"/>
          <w:szCs w:val="20"/>
        </w:rPr>
        <w:t xml:space="preserve">En este caso la Corte homologó el acuerdo celebrado entre el Estado </w:t>
      </w:r>
      <w:r>
        <w:rPr>
          <w:sz w:val="20"/>
          <w:szCs w:val="20"/>
        </w:rPr>
        <w:t xml:space="preserve">y las víctimas respecto </w:t>
      </w:r>
      <w:r w:rsidRPr="00742038">
        <w:rPr>
          <w:sz w:val="20"/>
          <w:szCs w:val="20"/>
        </w:rPr>
        <w:t xml:space="preserve">a las reparaciones. El Estado ha dado cumplimiento a los </w:t>
      </w:r>
      <w:r>
        <w:rPr>
          <w:sz w:val="20"/>
          <w:szCs w:val="20"/>
        </w:rPr>
        <w:t xml:space="preserve">siguientes compromisos asumidos </w:t>
      </w:r>
      <w:r w:rsidRPr="00742038">
        <w:rPr>
          <w:sz w:val="20"/>
          <w:szCs w:val="20"/>
        </w:rPr>
        <w:t>en dicho acuerdo:</w:t>
      </w:r>
    </w:p>
    <w:p w14:paraId="24EDB983" w14:textId="77777777" w:rsidR="00742038" w:rsidRDefault="00742038" w:rsidP="00C178BC">
      <w:pPr>
        <w:ind w:right="-518"/>
        <w:jc w:val="both"/>
        <w:rPr>
          <w:rStyle w:val="apple-style-span"/>
          <w:sz w:val="20"/>
          <w:szCs w:val="20"/>
        </w:rPr>
      </w:pPr>
    </w:p>
    <w:p w14:paraId="62417908" w14:textId="32A076A2" w:rsidR="00965C35" w:rsidRPr="00E14055" w:rsidRDefault="00742038" w:rsidP="00965C35">
      <w:pPr>
        <w:ind w:right="-518"/>
        <w:jc w:val="both"/>
        <w:rPr>
          <w:sz w:val="20"/>
          <w:szCs w:val="20"/>
        </w:rPr>
      </w:pPr>
      <w:r>
        <w:rPr>
          <w:rStyle w:val="apple-style-span"/>
          <w:sz w:val="20"/>
          <w:szCs w:val="20"/>
        </w:rPr>
        <w:t>1.</w:t>
      </w:r>
      <w:r>
        <w:rPr>
          <w:rStyle w:val="apple-style-span"/>
          <w:sz w:val="20"/>
          <w:szCs w:val="20"/>
        </w:rPr>
        <w:tab/>
      </w:r>
      <w:r w:rsidR="00FD519E">
        <w:rPr>
          <w:rFonts w:eastAsia="Cambria" w:cs="Times New Roman"/>
          <w:bCs/>
          <w:sz w:val="20"/>
          <w:szCs w:val="20"/>
        </w:rPr>
        <w:t>“[E]</w:t>
      </w:r>
      <w:r w:rsidR="00965C35" w:rsidRPr="006D416E">
        <w:rPr>
          <w:rFonts w:eastAsia="Cambria" w:cs="Times New Roman"/>
          <w:bCs/>
          <w:sz w:val="20"/>
          <w:szCs w:val="20"/>
          <w:lang w:val="es-ES"/>
        </w:rPr>
        <w:t xml:space="preserve">liminar los antecedentes penales que pudiesen existir en contra de [los señores García Cruz y Sánchez Silvestre], en relación con los hechos del presente caso, en los términos </w:t>
      </w:r>
      <w:r w:rsidR="00965C35" w:rsidRPr="00E14055">
        <w:rPr>
          <w:rFonts w:eastAsia="Cambria" w:cs="Times New Roman"/>
          <w:bCs/>
          <w:sz w:val="20"/>
          <w:szCs w:val="20"/>
          <w:lang w:val="es-ES"/>
        </w:rPr>
        <w:t>de los párrafos 72 y 73 de la</w:t>
      </w:r>
      <w:r w:rsidR="0014299F">
        <w:rPr>
          <w:rFonts w:eastAsia="Cambria" w:cs="Times New Roman"/>
          <w:bCs/>
          <w:sz w:val="20"/>
          <w:szCs w:val="20"/>
          <w:lang w:val="es-ES"/>
        </w:rPr>
        <w:t xml:space="preserve"> […]</w:t>
      </w:r>
      <w:r w:rsidR="00965C35" w:rsidRPr="00E14055">
        <w:rPr>
          <w:rFonts w:eastAsia="Cambria" w:cs="Times New Roman"/>
          <w:bCs/>
          <w:sz w:val="20"/>
          <w:szCs w:val="20"/>
          <w:lang w:val="es-ES"/>
        </w:rPr>
        <w:t xml:space="preserve"> Sentenci</w:t>
      </w:r>
      <w:r w:rsidR="00FD519E">
        <w:rPr>
          <w:rFonts w:eastAsia="Cambria" w:cs="Times New Roman"/>
          <w:bCs/>
          <w:sz w:val="20"/>
          <w:szCs w:val="20"/>
          <w:lang w:val="es-ES"/>
        </w:rPr>
        <w:t xml:space="preserve">a”. </w:t>
      </w:r>
    </w:p>
    <w:p w14:paraId="3F85B287" w14:textId="77777777" w:rsidR="00965C35" w:rsidRPr="00E14055" w:rsidRDefault="00965C35" w:rsidP="00C178BC">
      <w:pPr>
        <w:ind w:right="-518"/>
        <w:jc w:val="both"/>
        <w:rPr>
          <w:rStyle w:val="apple-style-span"/>
          <w:sz w:val="20"/>
          <w:szCs w:val="20"/>
        </w:rPr>
      </w:pPr>
    </w:p>
    <w:p w14:paraId="11BA8786" w14:textId="6739BC98" w:rsidR="00965C35" w:rsidRPr="00E14055" w:rsidRDefault="00965C35" w:rsidP="00965C35">
      <w:pPr>
        <w:ind w:right="-518"/>
        <w:jc w:val="both"/>
        <w:rPr>
          <w:rFonts w:eastAsia="Cambria" w:cs="Times New Roman"/>
          <w:bCs/>
          <w:sz w:val="20"/>
          <w:szCs w:val="20"/>
          <w:lang w:val="es-ES"/>
        </w:rPr>
      </w:pPr>
      <w:r w:rsidRPr="00E14055">
        <w:rPr>
          <w:sz w:val="20"/>
          <w:szCs w:val="20"/>
        </w:rPr>
        <w:t>2.</w:t>
      </w:r>
      <w:r w:rsidRPr="00E14055">
        <w:rPr>
          <w:sz w:val="20"/>
          <w:szCs w:val="20"/>
        </w:rPr>
        <w:tab/>
      </w:r>
      <w:r w:rsidR="0014299F">
        <w:rPr>
          <w:sz w:val="20"/>
          <w:szCs w:val="20"/>
        </w:rPr>
        <w:t>“[</w:t>
      </w:r>
      <w:r w:rsidR="00E14055" w:rsidRPr="00E14055">
        <w:rPr>
          <w:sz w:val="20"/>
          <w:szCs w:val="20"/>
        </w:rPr>
        <w:t>O</w:t>
      </w:r>
      <w:r w:rsidR="0014299F">
        <w:rPr>
          <w:sz w:val="20"/>
          <w:szCs w:val="20"/>
        </w:rPr>
        <w:t>]</w:t>
      </w:r>
      <w:r w:rsidRPr="00E14055">
        <w:rPr>
          <w:sz w:val="20"/>
          <w:szCs w:val="20"/>
        </w:rPr>
        <w:t xml:space="preserve">torgar a las víctimas atención médica preferencial y gratuita a través del </w:t>
      </w:r>
      <w:r w:rsidRPr="00E14055">
        <w:rPr>
          <w:i/>
          <w:sz w:val="20"/>
          <w:szCs w:val="20"/>
        </w:rPr>
        <w:t>Programa de Acceso Gratuito a los Servicios Médicos y Medicamentos a las Personas Residentes en el Distrito Federal que Carecen de Seguridad Social Laboral</w:t>
      </w:r>
      <w:r w:rsidRPr="00E14055">
        <w:rPr>
          <w:sz w:val="20"/>
          <w:szCs w:val="20"/>
        </w:rPr>
        <w:t xml:space="preserve"> y brindarles atención psicológica a </w:t>
      </w:r>
      <w:r w:rsidRPr="00E14055">
        <w:rPr>
          <w:rFonts w:eastAsia="Cambria" w:cs="Times New Roman"/>
          <w:bCs/>
          <w:sz w:val="20"/>
          <w:szCs w:val="20"/>
          <w:lang w:val="es-ES"/>
        </w:rPr>
        <w:t>través</w:t>
      </w:r>
      <w:r w:rsidRPr="00E14055">
        <w:rPr>
          <w:sz w:val="20"/>
          <w:szCs w:val="20"/>
        </w:rPr>
        <w:t xml:space="preserve"> de “[l]a Procuraduría Social de Atención a las Víctimas de Delitos[, …] en sus domicilios o en las instalaciones del Centro de Atención a Víctimas y Ofendidos más cercana al mismo, a elección de las víctimas”, en los términos de los párrafos 74 a 78 de la Sentencia</w:t>
      </w:r>
      <w:r w:rsidR="0014299F">
        <w:rPr>
          <w:sz w:val="20"/>
          <w:szCs w:val="20"/>
        </w:rPr>
        <w:t xml:space="preserve">. </w:t>
      </w:r>
    </w:p>
    <w:p w14:paraId="3BEDD4CE" w14:textId="77777777" w:rsidR="00965C35" w:rsidRPr="00E14055" w:rsidRDefault="00965C35" w:rsidP="00965C35">
      <w:pPr>
        <w:tabs>
          <w:tab w:val="left" w:pos="720"/>
        </w:tabs>
        <w:mirrorIndents/>
        <w:jc w:val="both"/>
        <w:rPr>
          <w:rFonts w:eastAsia="Cambria" w:cs="Times New Roman"/>
          <w:bCs/>
          <w:sz w:val="20"/>
          <w:szCs w:val="20"/>
          <w:lang w:val="es-ES"/>
        </w:rPr>
      </w:pPr>
    </w:p>
    <w:p w14:paraId="2E09B45C" w14:textId="02F9B955" w:rsidR="00965C35" w:rsidRPr="00E14055" w:rsidRDefault="00965C35" w:rsidP="00965C35">
      <w:pPr>
        <w:ind w:right="-518"/>
        <w:jc w:val="both"/>
        <w:rPr>
          <w:rFonts w:eastAsia="Cambria" w:cs="Times New Roman"/>
          <w:bCs/>
          <w:sz w:val="20"/>
          <w:szCs w:val="20"/>
          <w:lang w:val="es-ES"/>
        </w:rPr>
      </w:pPr>
      <w:r w:rsidRPr="00E14055">
        <w:rPr>
          <w:sz w:val="20"/>
          <w:szCs w:val="20"/>
        </w:rPr>
        <w:t>3.</w:t>
      </w:r>
      <w:r w:rsidRPr="00E14055">
        <w:rPr>
          <w:sz w:val="20"/>
          <w:szCs w:val="20"/>
        </w:rPr>
        <w:tab/>
      </w:r>
      <w:r w:rsidR="0014299F">
        <w:rPr>
          <w:sz w:val="20"/>
          <w:szCs w:val="20"/>
        </w:rPr>
        <w:t>“[</w:t>
      </w:r>
      <w:r w:rsidR="00E14055" w:rsidRPr="00E14055">
        <w:rPr>
          <w:sz w:val="20"/>
          <w:szCs w:val="20"/>
        </w:rPr>
        <w:t>O</w:t>
      </w:r>
      <w:r w:rsidR="0014299F">
        <w:rPr>
          <w:sz w:val="20"/>
          <w:szCs w:val="20"/>
        </w:rPr>
        <w:t>]</w:t>
      </w:r>
      <w:r w:rsidRPr="00E14055">
        <w:rPr>
          <w:sz w:val="20"/>
          <w:szCs w:val="20"/>
        </w:rPr>
        <w:t xml:space="preserve">torgar a [… la esposa del señor Santiago Sánchez Silvestre,] atención médica gratuita a través del </w:t>
      </w:r>
      <w:r w:rsidRPr="00E14055">
        <w:rPr>
          <w:i/>
          <w:sz w:val="20"/>
          <w:szCs w:val="20"/>
        </w:rPr>
        <w:t xml:space="preserve">Programa de Acceso Gratuito a los Servicios Médicos y Medicamentos a las Personas </w:t>
      </w:r>
      <w:r w:rsidRPr="00E14055">
        <w:rPr>
          <w:sz w:val="20"/>
          <w:szCs w:val="20"/>
        </w:rPr>
        <w:t>Residentes</w:t>
      </w:r>
      <w:r w:rsidRPr="00E14055">
        <w:rPr>
          <w:i/>
          <w:sz w:val="20"/>
          <w:szCs w:val="20"/>
        </w:rPr>
        <w:t xml:space="preserve"> en el Distrito Federal que Carecen de Seguridad Social Laboral</w:t>
      </w:r>
      <w:r w:rsidR="00A768FC">
        <w:rPr>
          <w:i/>
          <w:sz w:val="20"/>
          <w:szCs w:val="20"/>
        </w:rPr>
        <w:t>”</w:t>
      </w:r>
      <w:r w:rsidRPr="00E14055">
        <w:rPr>
          <w:sz w:val="20"/>
          <w:szCs w:val="20"/>
        </w:rPr>
        <w:t>, en los términos de los párrafos 74 a 78 de la Sentencia</w:t>
      </w:r>
      <w:r w:rsidR="00A768FC">
        <w:rPr>
          <w:sz w:val="20"/>
          <w:szCs w:val="20"/>
        </w:rPr>
        <w:t>.</w:t>
      </w:r>
    </w:p>
    <w:p w14:paraId="1795518A" w14:textId="77777777" w:rsidR="00965C35" w:rsidRPr="00E14055" w:rsidRDefault="00965C35" w:rsidP="00C178BC">
      <w:pPr>
        <w:ind w:right="-518"/>
        <w:jc w:val="both"/>
        <w:rPr>
          <w:rStyle w:val="apple-style-span"/>
          <w:sz w:val="20"/>
          <w:szCs w:val="20"/>
          <w:lang w:val="es-ES"/>
        </w:rPr>
      </w:pPr>
    </w:p>
    <w:p w14:paraId="4EF29887" w14:textId="2CAF0626" w:rsidR="00742038" w:rsidRPr="00E14055" w:rsidRDefault="00E14055" w:rsidP="00C178BC">
      <w:pPr>
        <w:ind w:right="-518"/>
        <w:jc w:val="both"/>
      </w:pPr>
      <w:r w:rsidRPr="00E14055">
        <w:rPr>
          <w:rStyle w:val="apple-style-span"/>
          <w:sz w:val="20"/>
          <w:szCs w:val="20"/>
        </w:rPr>
        <w:t xml:space="preserve">4. </w:t>
      </w:r>
      <w:r w:rsidRPr="00E14055">
        <w:rPr>
          <w:rStyle w:val="apple-style-span"/>
          <w:sz w:val="20"/>
          <w:szCs w:val="20"/>
        </w:rPr>
        <w:tab/>
      </w:r>
      <w:r w:rsidR="00742038" w:rsidRPr="00E14055">
        <w:rPr>
          <w:rStyle w:val="apple-style-span"/>
          <w:sz w:val="20"/>
          <w:szCs w:val="20"/>
        </w:rPr>
        <w:t xml:space="preserve">Realizar </w:t>
      </w:r>
      <w:r w:rsidR="00A768FC">
        <w:rPr>
          <w:rStyle w:val="apple-style-span"/>
          <w:sz w:val="20"/>
          <w:szCs w:val="20"/>
        </w:rPr>
        <w:t>“</w:t>
      </w:r>
      <w:r w:rsidR="00742038" w:rsidRPr="00E14055">
        <w:rPr>
          <w:sz w:val="20"/>
          <w:szCs w:val="20"/>
        </w:rPr>
        <w:t>un acto público de reconocimiento de responsabilidad [internacional] y disculpa pública</w:t>
      </w:r>
      <w:r w:rsidR="00A768FC">
        <w:rPr>
          <w:sz w:val="20"/>
          <w:szCs w:val="20"/>
        </w:rPr>
        <w:t>”</w:t>
      </w:r>
      <w:r w:rsidR="00742038" w:rsidRPr="00E14055">
        <w:rPr>
          <w:sz w:val="20"/>
          <w:szCs w:val="20"/>
        </w:rPr>
        <w:t xml:space="preserve"> por los hechos del presente caso, en los términos de los párrafos 84 y 85 de la Sentencia</w:t>
      </w:r>
      <w:r w:rsidR="00A768FC">
        <w:rPr>
          <w:sz w:val="20"/>
          <w:szCs w:val="20"/>
        </w:rPr>
        <w:t>.</w:t>
      </w:r>
    </w:p>
    <w:p w14:paraId="4BD246E3" w14:textId="77777777" w:rsidR="004D7F8B" w:rsidRPr="00E14055" w:rsidRDefault="004D7F8B" w:rsidP="00C178BC">
      <w:pPr>
        <w:ind w:right="-518"/>
        <w:jc w:val="both"/>
      </w:pPr>
    </w:p>
    <w:p w14:paraId="5CF6561E" w14:textId="73E5B415" w:rsidR="004D7F8B" w:rsidRPr="00E14055" w:rsidRDefault="00E14055" w:rsidP="00C178BC">
      <w:pPr>
        <w:ind w:right="-518"/>
        <w:jc w:val="both"/>
        <w:rPr>
          <w:sz w:val="20"/>
        </w:rPr>
      </w:pPr>
      <w:r w:rsidRPr="00E14055">
        <w:rPr>
          <w:sz w:val="20"/>
        </w:rPr>
        <w:t xml:space="preserve">5. </w:t>
      </w:r>
      <w:r w:rsidRPr="00E14055">
        <w:rPr>
          <w:sz w:val="20"/>
        </w:rPr>
        <w:tab/>
      </w:r>
      <w:r w:rsidR="004D7F8B" w:rsidRPr="00E14055">
        <w:rPr>
          <w:sz w:val="20"/>
        </w:rPr>
        <w:t>Realizar las publicaciones indicadas en los párrafos 86 y 87 de la Sentencia</w:t>
      </w:r>
      <w:r w:rsidR="00A768FC">
        <w:rPr>
          <w:sz w:val="20"/>
        </w:rPr>
        <w:t>.</w:t>
      </w:r>
    </w:p>
    <w:p w14:paraId="7152AD10" w14:textId="77777777" w:rsidR="00742038" w:rsidRPr="00E14055" w:rsidRDefault="00742038" w:rsidP="00C178BC">
      <w:pPr>
        <w:ind w:right="-518"/>
        <w:jc w:val="both"/>
      </w:pPr>
    </w:p>
    <w:p w14:paraId="0BC63BCC" w14:textId="135C5369" w:rsidR="00742038" w:rsidRPr="00E14055" w:rsidRDefault="00E14055" w:rsidP="00C178BC">
      <w:pPr>
        <w:ind w:right="-518"/>
        <w:jc w:val="both"/>
        <w:rPr>
          <w:sz w:val="20"/>
          <w:szCs w:val="20"/>
        </w:rPr>
      </w:pPr>
      <w:r w:rsidRPr="00E14055">
        <w:rPr>
          <w:sz w:val="20"/>
          <w:szCs w:val="20"/>
        </w:rPr>
        <w:t>6</w:t>
      </w:r>
      <w:r w:rsidR="00742038" w:rsidRPr="00E14055">
        <w:rPr>
          <w:sz w:val="20"/>
          <w:szCs w:val="20"/>
        </w:rPr>
        <w:t>.</w:t>
      </w:r>
      <w:r w:rsidR="00742038" w:rsidRPr="00E14055">
        <w:rPr>
          <w:sz w:val="20"/>
          <w:szCs w:val="20"/>
        </w:rPr>
        <w:tab/>
      </w:r>
      <w:r w:rsidR="00A768FC">
        <w:rPr>
          <w:sz w:val="20"/>
          <w:szCs w:val="20"/>
        </w:rPr>
        <w:t>“[</w:t>
      </w:r>
      <w:r w:rsidRPr="00E14055">
        <w:rPr>
          <w:sz w:val="20"/>
          <w:szCs w:val="20"/>
        </w:rPr>
        <w:t>G</w:t>
      </w:r>
      <w:r w:rsidR="00A768FC">
        <w:rPr>
          <w:sz w:val="20"/>
          <w:szCs w:val="20"/>
        </w:rPr>
        <w:t>]</w:t>
      </w:r>
      <w:r w:rsidR="00742038" w:rsidRPr="00E14055">
        <w:rPr>
          <w:sz w:val="20"/>
          <w:szCs w:val="20"/>
        </w:rPr>
        <w:t>arantizar la educación de las víctimas hasta la conclusión de sus estudios universitarios o técnicos, según sea su interés [, … a través del] pago de becas educativas</w:t>
      </w:r>
      <w:r w:rsidR="00E60D22">
        <w:rPr>
          <w:sz w:val="20"/>
          <w:szCs w:val="20"/>
        </w:rPr>
        <w:t>”,</w:t>
      </w:r>
      <w:r w:rsidR="00742038" w:rsidRPr="00E14055">
        <w:rPr>
          <w:sz w:val="20"/>
          <w:szCs w:val="20"/>
        </w:rPr>
        <w:t xml:space="preserve"> en los términos de los párrafos 81 a 83 de la Sentencia</w:t>
      </w:r>
      <w:r w:rsidR="00E60D22">
        <w:rPr>
          <w:sz w:val="20"/>
          <w:szCs w:val="20"/>
        </w:rPr>
        <w:t>.</w:t>
      </w:r>
    </w:p>
    <w:p w14:paraId="4EF0B3AF" w14:textId="77777777" w:rsidR="00742038" w:rsidRPr="00E14055" w:rsidRDefault="00742038" w:rsidP="00C178BC">
      <w:pPr>
        <w:ind w:right="-518"/>
        <w:jc w:val="both"/>
        <w:rPr>
          <w:sz w:val="20"/>
          <w:szCs w:val="20"/>
        </w:rPr>
      </w:pPr>
    </w:p>
    <w:p w14:paraId="032A31B8" w14:textId="2FE615BC" w:rsidR="00742038" w:rsidRPr="00E14055" w:rsidRDefault="00E14055" w:rsidP="00C178BC">
      <w:pPr>
        <w:ind w:right="-518"/>
        <w:jc w:val="both"/>
        <w:rPr>
          <w:sz w:val="20"/>
          <w:szCs w:val="20"/>
          <w:lang w:val="es-ES"/>
        </w:rPr>
      </w:pPr>
      <w:r w:rsidRPr="00E14055">
        <w:rPr>
          <w:sz w:val="20"/>
          <w:szCs w:val="20"/>
        </w:rPr>
        <w:t>7</w:t>
      </w:r>
      <w:r w:rsidR="00742038" w:rsidRPr="00E14055">
        <w:rPr>
          <w:sz w:val="20"/>
          <w:szCs w:val="20"/>
        </w:rPr>
        <w:t>.</w:t>
      </w:r>
      <w:r w:rsidR="00742038" w:rsidRPr="00E14055">
        <w:rPr>
          <w:sz w:val="20"/>
          <w:szCs w:val="20"/>
        </w:rPr>
        <w:tab/>
      </w:r>
      <w:r w:rsidR="00E60D22">
        <w:rPr>
          <w:sz w:val="20"/>
          <w:szCs w:val="20"/>
        </w:rPr>
        <w:t>“[</w:t>
      </w:r>
      <w:r w:rsidRPr="00E14055">
        <w:rPr>
          <w:sz w:val="20"/>
          <w:szCs w:val="20"/>
        </w:rPr>
        <w:t>G</w:t>
      </w:r>
      <w:r w:rsidR="00E60D22">
        <w:rPr>
          <w:sz w:val="20"/>
          <w:szCs w:val="20"/>
        </w:rPr>
        <w:t>]</w:t>
      </w:r>
      <w:r w:rsidR="00742038" w:rsidRPr="00E14055">
        <w:rPr>
          <w:sz w:val="20"/>
          <w:szCs w:val="20"/>
        </w:rPr>
        <w:t xml:space="preserve">arantizar la educación de </w:t>
      </w:r>
      <w:r w:rsidR="00742038" w:rsidRPr="00E14055">
        <w:rPr>
          <w:sz w:val="20"/>
          <w:szCs w:val="20"/>
          <w:lang w:val="es-ES"/>
        </w:rPr>
        <w:t xml:space="preserve">[… la hija del señor Santiago Sánchez Silvestre,] </w:t>
      </w:r>
      <w:r w:rsidR="00742038" w:rsidRPr="00E14055">
        <w:rPr>
          <w:sz w:val="20"/>
          <w:szCs w:val="20"/>
        </w:rPr>
        <w:t>hasta la conclusión de sus estudios universitarios o técnicos, según sea el interés</w:t>
      </w:r>
      <w:r w:rsidR="00742038" w:rsidRPr="00E14055">
        <w:rPr>
          <w:sz w:val="20"/>
          <w:szCs w:val="20"/>
          <w:lang w:val="es-ES"/>
        </w:rPr>
        <w:t xml:space="preserve"> que en su momento tenga la misma</w:t>
      </w:r>
      <w:r w:rsidR="00E60D22">
        <w:rPr>
          <w:sz w:val="20"/>
          <w:szCs w:val="20"/>
          <w:lang w:val="es-ES"/>
        </w:rPr>
        <w:t>”</w:t>
      </w:r>
      <w:r w:rsidR="00742038" w:rsidRPr="00E14055">
        <w:rPr>
          <w:sz w:val="20"/>
          <w:szCs w:val="20"/>
          <w:lang w:val="es-ES"/>
        </w:rPr>
        <w:t xml:space="preserve"> a través de una “beca escolar”, en los términos de los párrafos 82 y 83 de la Sentencia</w:t>
      </w:r>
      <w:r w:rsidR="00E60D22">
        <w:rPr>
          <w:sz w:val="20"/>
          <w:szCs w:val="20"/>
          <w:lang w:val="es-ES"/>
        </w:rPr>
        <w:t xml:space="preserve">. </w:t>
      </w:r>
    </w:p>
    <w:p w14:paraId="14F96104" w14:textId="3E0BA115" w:rsidR="00965C35" w:rsidRPr="00E14055" w:rsidRDefault="00965C35" w:rsidP="00C178BC">
      <w:pPr>
        <w:ind w:right="-518"/>
        <w:jc w:val="both"/>
        <w:rPr>
          <w:sz w:val="20"/>
          <w:szCs w:val="20"/>
          <w:lang w:val="es-ES"/>
        </w:rPr>
      </w:pPr>
    </w:p>
    <w:p w14:paraId="3B485EF5" w14:textId="395A9317" w:rsidR="00965C35" w:rsidRPr="00E14055" w:rsidRDefault="00E14055" w:rsidP="00965C35">
      <w:pPr>
        <w:ind w:right="-518"/>
        <w:jc w:val="both"/>
        <w:rPr>
          <w:rFonts w:eastAsia="Cambria" w:cs="Times New Roman"/>
          <w:bCs/>
          <w:sz w:val="20"/>
          <w:szCs w:val="20"/>
          <w:lang w:val="es-ES"/>
        </w:rPr>
      </w:pPr>
      <w:r w:rsidRPr="00E14055">
        <w:rPr>
          <w:sz w:val="20"/>
          <w:szCs w:val="20"/>
          <w:lang w:val="es-ES"/>
        </w:rPr>
        <w:t>8</w:t>
      </w:r>
      <w:r w:rsidR="00965C35" w:rsidRPr="00E14055">
        <w:rPr>
          <w:sz w:val="20"/>
          <w:szCs w:val="20"/>
          <w:lang w:val="es-ES"/>
        </w:rPr>
        <w:t>.</w:t>
      </w:r>
      <w:r w:rsidR="00965C35" w:rsidRPr="00E14055">
        <w:rPr>
          <w:sz w:val="20"/>
          <w:szCs w:val="20"/>
          <w:lang w:val="es-ES"/>
        </w:rPr>
        <w:tab/>
      </w:r>
      <w:r w:rsidR="00E60D22">
        <w:rPr>
          <w:sz w:val="20"/>
          <w:szCs w:val="20"/>
          <w:lang w:val="es-ES"/>
        </w:rPr>
        <w:t>“[</w:t>
      </w:r>
      <w:r w:rsidRPr="00E14055">
        <w:rPr>
          <w:sz w:val="20"/>
          <w:szCs w:val="20"/>
          <w:lang w:val="es-ES"/>
        </w:rPr>
        <w:t>E</w:t>
      </w:r>
      <w:r w:rsidR="00E60D22">
        <w:rPr>
          <w:sz w:val="20"/>
          <w:szCs w:val="20"/>
          <w:lang w:val="es-ES"/>
        </w:rPr>
        <w:t>]</w:t>
      </w:r>
      <w:r w:rsidR="00965C35" w:rsidRPr="00E14055">
        <w:rPr>
          <w:sz w:val="20"/>
          <w:szCs w:val="20"/>
          <w:lang w:val="es-ES"/>
        </w:rPr>
        <w:t>ntregar en propiedad una vivienda en el Distrito Federal a cada víctima a través del “Programa de Vivienda Nueva en Conjunto a cargo del Instituto de Vivienda del Distrito Federal”, en los términos de los párrafos 79 y 80 de la Sentencia</w:t>
      </w:r>
      <w:r w:rsidR="00E60D22">
        <w:rPr>
          <w:sz w:val="20"/>
          <w:szCs w:val="20"/>
          <w:lang w:val="es-ES"/>
        </w:rPr>
        <w:t>.</w:t>
      </w:r>
    </w:p>
    <w:p w14:paraId="04C21DF7" w14:textId="77777777" w:rsidR="00742038" w:rsidRPr="00E14055" w:rsidRDefault="00742038" w:rsidP="00C178BC">
      <w:pPr>
        <w:ind w:right="-518"/>
        <w:jc w:val="both"/>
        <w:rPr>
          <w:sz w:val="20"/>
          <w:szCs w:val="20"/>
        </w:rPr>
      </w:pPr>
    </w:p>
    <w:p w14:paraId="2604301A" w14:textId="7FD3719B" w:rsidR="00742038" w:rsidRPr="00E14055" w:rsidRDefault="00E14055" w:rsidP="00C178BC">
      <w:pPr>
        <w:ind w:right="-518"/>
        <w:jc w:val="both"/>
        <w:rPr>
          <w:sz w:val="20"/>
          <w:szCs w:val="20"/>
        </w:rPr>
      </w:pPr>
      <w:r w:rsidRPr="00E14055">
        <w:rPr>
          <w:sz w:val="20"/>
          <w:szCs w:val="20"/>
        </w:rPr>
        <w:t>9</w:t>
      </w:r>
      <w:r w:rsidR="00742038" w:rsidRPr="00E14055">
        <w:rPr>
          <w:sz w:val="20"/>
          <w:szCs w:val="20"/>
        </w:rPr>
        <w:t>.</w:t>
      </w:r>
      <w:r w:rsidR="00742038" w:rsidRPr="00E14055">
        <w:rPr>
          <w:sz w:val="20"/>
          <w:szCs w:val="20"/>
        </w:rPr>
        <w:tab/>
      </w:r>
      <w:r w:rsidR="00E60D22">
        <w:rPr>
          <w:sz w:val="20"/>
          <w:szCs w:val="20"/>
        </w:rPr>
        <w:t>“[</w:t>
      </w:r>
      <w:r w:rsidRPr="00E14055">
        <w:rPr>
          <w:sz w:val="20"/>
          <w:szCs w:val="20"/>
        </w:rPr>
        <w:t>R</w:t>
      </w:r>
      <w:r w:rsidR="00E60D22">
        <w:rPr>
          <w:sz w:val="20"/>
          <w:szCs w:val="20"/>
        </w:rPr>
        <w:t>]</w:t>
      </w:r>
      <w:r w:rsidR="00742038" w:rsidRPr="00E14055">
        <w:rPr>
          <w:sz w:val="20"/>
          <w:szCs w:val="20"/>
        </w:rPr>
        <w:t>ealizar un seminario con expertos para debatir la aplicación de la doctrina de la inmediatez procesal utilizada por la Suprema Corte de Justicia de la Nación y a hacer llegar las conclusiones de dicho evento a diversos servidores públicos encargados de la defensoría de oficio, así como de la procuración e impartición de justicia”, en los términos de los párrafos 88 y 89 de la Sentencia</w:t>
      </w:r>
      <w:r w:rsidR="00E60D22">
        <w:rPr>
          <w:sz w:val="20"/>
          <w:szCs w:val="20"/>
        </w:rPr>
        <w:t>.</w:t>
      </w:r>
    </w:p>
    <w:p w14:paraId="09B615BA" w14:textId="77777777" w:rsidR="00742038" w:rsidRPr="00E14055" w:rsidRDefault="00742038" w:rsidP="00C178BC">
      <w:pPr>
        <w:ind w:right="-518"/>
        <w:jc w:val="both"/>
        <w:rPr>
          <w:sz w:val="20"/>
          <w:szCs w:val="20"/>
        </w:rPr>
      </w:pPr>
    </w:p>
    <w:p w14:paraId="296C4552" w14:textId="22D1872F" w:rsidR="00742038" w:rsidRPr="00E14055" w:rsidRDefault="00E14055" w:rsidP="00C178BC">
      <w:pPr>
        <w:ind w:right="-518"/>
        <w:jc w:val="both"/>
        <w:rPr>
          <w:sz w:val="20"/>
          <w:szCs w:val="20"/>
        </w:rPr>
      </w:pPr>
      <w:r w:rsidRPr="00E14055">
        <w:rPr>
          <w:sz w:val="20"/>
          <w:szCs w:val="20"/>
        </w:rPr>
        <w:t>10</w:t>
      </w:r>
      <w:r w:rsidR="00742038" w:rsidRPr="00E14055">
        <w:rPr>
          <w:sz w:val="20"/>
          <w:szCs w:val="20"/>
        </w:rPr>
        <w:t>.</w:t>
      </w:r>
      <w:r w:rsidR="00742038" w:rsidRPr="00E14055">
        <w:rPr>
          <w:sz w:val="20"/>
          <w:szCs w:val="20"/>
        </w:rPr>
        <w:tab/>
      </w:r>
      <w:r w:rsidR="00CA4C89">
        <w:rPr>
          <w:sz w:val="20"/>
          <w:szCs w:val="20"/>
        </w:rPr>
        <w:t>“[</w:t>
      </w:r>
      <w:r w:rsidR="00742038" w:rsidRPr="00E14055">
        <w:rPr>
          <w:sz w:val="20"/>
          <w:szCs w:val="20"/>
        </w:rPr>
        <w:t>R</w:t>
      </w:r>
      <w:r w:rsidR="00CA4C89">
        <w:rPr>
          <w:sz w:val="20"/>
          <w:szCs w:val="20"/>
        </w:rPr>
        <w:t>]</w:t>
      </w:r>
      <w:r w:rsidR="00742038" w:rsidRPr="00E14055">
        <w:rPr>
          <w:sz w:val="20"/>
          <w:szCs w:val="20"/>
        </w:rPr>
        <w:t xml:space="preserve">ealizar la </w:t>
      </w:r>
      <w:r w:rsidR="00742038" w:rsidRPr="00E14055">
        <w:rPr>
          <w:sz w:val="20"/>
          <w:szCs w:val="20"/>
          <w:lang w:val="es-ES"/>
        </w:rPr>
        <w:t xml:space="preserve">publicación en el Diario Oficial de la Federación y en otro diario de amplia circulación nacional, por una sola vez, de un resumen de [la sentencia del juicio de amparo </w:t>
      </w:r>
      <w:r w:rsidR="00742038" w:rsidRPr="00E14055">
        <w:rPr>
          <w:sz w:val="20"/>
          <w:szCs w:val="20"/>
          <w:lang w:val="es-ES"/>
        </w:rPr>
        <w:lastRenderedPageBreak/>
        <w:t>778/2012], previamente acordado con las víctimas y sus representantes</w:t>
      </w:r>
      <w:r w:rsidR="00CA4C89">
        <w:rPr>
          <w:sz w:val="20"/>
          <w:szCs w:val="20"/>
          <w:lang w:val="es-ES"/>
        </w:rPr>
        <w:t>”</w:t>
      </w:r>
      <w:r w:rsidR="00742038" w:rsidRPr="00E14055">
        <w:rPr>
          <w:sz w:val="20"/>
          <w:szCs w:val="20"/>
          <w:lang w:val="es-ES"/>
        </w:rPr>
        <w:t>, en los términos de los párrafos 90 y 91 de la Sentencia</w:t>
      </w:r>
      <w:r w:rsidR="00CA4C89">
        <w:rPr>
          <w:sz w:val="20"/>
          <w:szCs w:val="20"/>
          <w:lang w:val="es-ES"/>
        </w:rPr>
        <w:t>.</w:t>
      </w:r>
    </w:p>
    <w:p w14:paraId="39AC1439" w14:textId="77777777" w:rsidR="00742038" w:rsidRPr="00E14055" w:rsidRDefault="00742038" w:rsidP="00C178BC">
      <w:pPr>
        <w:ind w:right="-518"/>
        <w:jc w:val="both"/>
        <w:rPr>
          <w:sz w:val="20"/>
          <w:szCs w:val="20"/>
        </w:rPr>
      </w:pPr>
    </w:p>
    <w:p w14:paraId="19909E19" w14:textId="1FA1988B" w:rsidR="00742038" w:rsidRPr="00E14055" w:rsidRDefault="00E14055" w:rsidP="00C178BC">
      <w:pPr>
        <w:ind w:right="-518"/>
        <w:jc w:val="both"/>
        <w:rPr>
          <w:sz w:val="20"/>
          <w:szCs w:val="20"/>
        </w:rPr>
      </w:pPr>
      <w:r w:rsidRPr="00E14055">
        <w:rPr>
          <w:sz w:val="20"/>
          <w:szCs w:val="20"/>
        </w:rPr>
        <w:t>11</w:t>
      </w:r>
      <w:r w:rsidR="00742038" w:rsidRPr="00E14055">
        <w:rPr>
          <w:sz w:val="20"/>
          <w:szCs w:val="20"/>
        </w:rPr>
        <w:t>.</w:t>
      </w:r>
      <w:r w:rsidR="00742038" w:rsidRPr="00E14055">
        <w:rPr>
          <w:sz w:val="20"/>
          <w:szCs w:val="20"/>
        </w:rPr>
        <w:tab/>
      </w:r>
      <w:r w:rsidR="00742038" w:rsidRPr="00E14055">
        <w:rPr>
          <w:sz w:val="20"/>
          <w:szCs w:val="20"/>
          <w:lang w:val="es-ES"/>
        </w:rPr>
        <w:t>Efectuar un “Programa para operadores de justicia” para “continuar otorgando capacitación a los servidores públicos encargados de la defensoría de oficio, así como de la procuración, e impartición de justicia bajo los estándares internacionales más altos, para que puedan identificar, reaccionar, prevenir, denunciar y sancionar, el uso de técnicas de tortura”, en los términos de los párrafos 92 y 93 de la Sentencia</w:t>
      </w:r>
      <w:r w:rsidR="00CA4C89">
        <w:rPr>
          <w:sz w:val="20"/>
          <w:szCs w:val="20"/>
          <w:lang w:val="es-ES"/>
        </w:rPr>
        <w:t>.</w:t>
      </w:r>
    </w:p>
    <w:p w14:paraId="5C0DD689" w14:textId="77777777" w:rsidR="00742038" w:rsidRPr="00E14055" w:rsidRDefault="00742038" w:rsidP="00C178BC">
      <w:pPr>
        <w:ind w:right="-518"/>
        <w:jc w:val="both"/>
        <w:rPr>
          <w:sz w:val="20"/>
          <w:szCs w:val="20"/>
          <w:lang w:val="es-ES"/>
        </w:rPr>
      </w:pPr>
    </w:p>
    <w:p w14:paraId="19EC1B1E" w14:textId="1C8FCA29" w:rsidR="00742038" w:rsidRPr="00E14055" w:rsidRDefault="00E14055" w:rsidP="00C178BC">
      <w:pPr>
        <w:ind w:right="-518"/>
        <w:jc w:val="both"/>
        <w:rPr>
          <w:sz w:val="20"/>
          <w:szCs w:val="20"/>
        </w:rPr>
      </w:pPr>
      <w:r w:rsidRPr="00E14055">
        <w:rPr>
          <w:sz w:val="20"/>
          <w:szCs w:val="20"/>
          <w:lang w:val="es-ES"/>
        </w:rPr>
        <w:t>12</w:t>
      </w:r>
      <w:r w:rsidR="00742038" w:rsidRPr="00E14055">
        <w:rPr>
          <w:sz w:val="20"/>
          <w:szCs w:val="20"/>
          <w:lang w:val="es-ES"/>
        </w:rPr>
        <w:t>.</w:t>
      </w:r>
      <w:r w:rsidR="00742038" w:rsidRPr="00E14055">
        <w:rPr>
          <w:sz w:val="20"/>
          <w:szCs w:val="20"/>
          <w:lang w:val="es-ES"/>
        </w:rPr>
        <w:tab/>
      </w:r>
      <w:r w:rsidR="00742038" w:rsidRPr="00E14055">
        <w:rPr>
          <w:rFonts w:cs="Verdana"/>
          <w:sz w:val="20"/>
          <w:szCs w:val="20"/>
          <w:lang w:val="es-BO"/>
        </w:rPr>
        <w:t xml:space="preserve">Pagar a cada una de las víctimas las cantidades acordadas por concepto de indemnizaciones del daño material y del daño inmaterial, </w:t>
      </w:r>
      <w:r w:rsidR="00742038" w:rsidRPr="00E14055">
        <w:rPr>
          <w:sz w:val="20"/>
          <w:szCs w:val="20"/>
        </w:rPr>
        <w:t>en los términos de los párrafos 94, 96, 97, 99 y 100 de la Sentencia</w:t>
      </w:r>
      <w:r w:rsidR="00CA4C89">
        <w:rPr>
          <w:sz w:val="20"/>
          <w:szCs w:val="20"/>
        </w:rPr>
        <w:t>.</w:t>
      </w:r>
    </w:p>
    <w:p w14:paraId="11D8FD1B" w14:textId="77777777" w:rsidR="00742038" w:rsidRPr="00E14055" w:rsidRDefault="00742038" w:rsidP="00C178BC">
      <w:pPr>
        <w:pStyle w:val="Prrafodelista"/>
        <w:ind w:right="-518"/>
        <w:rPr>
          <w:rFonts w:cs="Verdana"/>
          <w:sz w:val="20"/>
          <w:szCs w:val="20"/>
          <w:lang w:val="es-BO"/>
        </w:rPr>
      </w:pPr>
    </w:p>
    <w:p w14:paraId="4C72B8EB" w14:textId="49FACB13" w:rsidR="00742038" w:rsidRDefault="00E14055" w:rsidP="00C178BC">
      <w:pPr>
        <w:ind w:right="-518"/>
        <w:jc w:val="both"/>
        <w:rPr>
          <w:sz w:val="20"/>
          <w:szCs w:val="20"/>
          <w:lang w:val="es-ES"/>
        </w:rPr>
      </w:pPr>
      <w:r w:rsidRPr="00E14055">
        <w:rPr>
          <w:rFonts w:cs="Verdana"/>
          <w:sz w:val="20"/>
          <w:szCs w:val="20"/>
          <w:lang w:val="es-BO"/>
        </w:rPr>
        <w:t>13</w:t>
      </w:r>
      <w:r w:rsidR="00742038" w:rsidRPr="00E14055">
        <w:rPr>
          <w:rFonts w:cs="Verdana"/>
          <w:sz w:val="20"/>
          <w:szCs w:val="20"/>
          <w:lang w:val="es-BO"/>
        </w:rPr>
        <w:t>.</w:t>
      </w:r>
      <w:r w:rsidR="00742038" w:rsidRPr="00E14055">
        <w:rPr>
          <w:rFonts w:cs="Verdana"/>
          <w:sz w:val="20"/>
          <w:szCs w:val="20"/>
          <w:lang w:val="es-BO"/>
        </w:rPr>
        <w:tab/>
        <w:t>Pagar las cantidades acordadas por concepto de reintegro de costas y gastos a la abogada María del Pilar Noriega García y a CEJIL, en los términos de los párrafos 95, 96, 98, 99 y 100 de la Sentencia</w:t>
      </w:r>
      <w:r w:rsidR="00742038" w:rsidRPr="00E14055">
        <w:rPr>
          <w:sz w:val="20"/>
          <w:szCs w:val="20"/>
          <w:lang w:val="es-ES"/>
        </w:rPr>
        <w:t>.</w:t>
      </w:r>
    </w:p>
    <w:p w14:paraId="682CED7B" w14:textId="56B28F03" w:rsidR="004D7F8B" w:rsidRDefault="004D7F8B" w:rsidP="00C178BC">
      <w:pPr>
        <w:ind w:right="-518"/>
        <w:jc w:val="both"/>
        <w:rPr>
          <w:b/>
          <w:sz w:val="20"/>
          <w:szCs w:val="20"/>
          <w:lang w:val="es-ES"/>
        </w:rPr>
      </w:pPr>
    </w:p>
    <w:p w14:paraId="59D8F14B" w14:textId="77777777" w:rsidR="00965C35" w:rsidRDefault="00965C35" w:rsidP="00965C35">
      <w:pPr>
        <w:tabs>
          <w:tab w:val="left" w:pos="720"/>
        </w:tabs>
        <w:mirrorIndents/>
        <w:jc w:val="both"/>
        <w:rPr>
          <w:sz w:val="20"/>
          <w:szCs w:val="20"/>
          <w:lang w:val="es-ES"/>
        </w:rPr>
      </w:pPr>
    </w:p>
    <w:p w14:paraId="1B253F68" w14:textId="77777777" w:rsidR="00965C35" w:rsidRDefault="00965C35" w:rsidP="00C178BC">
      <w:pPr>
        <w:ind w:right="-518"/>
        <w:jc w:val="both"/>
        <w:rPr>
          <w:b/>
          <w:sz w:val="20"/>
          <w:szCs w:val="20"/>
          <w:lang w:val="es-ES"/>
        </w:rPr>
      </w:pPr>
    </w:p>
    <w:p w14:paraId="618429EF" w14:textId="77777777" w:rsidR="000115F8" w:rsidRPr="00C4747D" w:rsidRDefault="000115F8" w:rsidP="00C178BC">
      <w:pPr>
        <w:tabs>
          <w:tab w:val="left" w:pos="720"/>
        </w:tabs>
        <w:ind w:right="-90"/>
        <w:jc w:val="both"/>
        <w:rPr>
          <w:sz w:val="20"/>
          <w:szCs w:val="20"/>
        </w:rPr>
      </w:pPr>
    </w:p>
    <w:sectPr w:rsidR="000115F8" w:rsidRPr="00C4747D" w:rsidSect="004D7F8B">
      <w:headerReference w:type="default" r:id="rId7"/>
      <w:foot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0094" w14:textId="77777777" w:rsidR="00355B83" w:rsidRDefault="00355B83" w:rsidP="009F7EF4">
      <w:r>
        <w:separator/>
      </w:r>
    </w:p>
  </w:endnote>
  <w:endnote w:type="continuationSeparator" w:id="0">
    <w:p w14:paraId="6156E8E2" w14:textId="77777777" w:rsidR="00355B83" w:rsidRDefault="00355B8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FDFB"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4F3A833D"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24AF" w14:textId="77777777" w:rsidR="00355B83" w:rsidRDefault="00355B83" w:rsidP="009F7EF4">
      <w:r>
        <w:separator/>
      </w:r>
    </w:p>
  </w:footnote>
  <w:footnote w:type="continuationSeparator" w:id="0">
    <w:p w14:paraId="467B8202" w14:textId="77777777" w:rsidR="00355B83" w:rsidRDefault="00355B8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6F808FBA"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F330B4">
          <w:rPr>
            <w:noProof/>
            <w:sz w:val="20"/>
            <w:szCs w:val="20"/>
          </w:rPr>
          <w:t>1</w:t>
        </w:r>
        <w:r w:rsidRPr="00675FE7">
          <w:rPr>
            <w:noProof/>
            <w:sz w:val="20"/>
            <w:szCs w:val="20"/>
          </w:rPr>
          <w:fldChar w:fldCharType="end"/>
        </w:r>
      </w:p>
    </w:sdtContent>
  </w:sdt>
  <w:p w14:paraId="3216B76D"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E96"/>
    <w:multiLevelType w:val="hybridMultilevel"/>
    <w:tmpl w:val="916445C4"/>
    <w:lvl w:ilvl="0" w:tplc="04090019">
      <w:start w:val="1"/>
      <w:numFmt w:val="lowerLetter"/>
      <w:lvlText w:val="%1)"/>
      <w:lvlJc w:val="left"/>
      <w:pPr>
        <w:tabs>
          <w:tab w:val="num" w:pos="1440"/>
        </w:tabs>
        <w:ind w:left="1440" w:hanging="360"/>
      </w:pPr>
      <w:rPr>
        <w:rFonts w:cs="Times New Roman" w:hint="default"/>
        <w:b w:val="0"/>
        <w:i w:val="0"/>
        <w:sz w:val="2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F9E6654"/>
    <w:multiLevelType w:val="hybridMultilevel"/>
    <w:tmpl w:val="F85C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018F"/>
    <w:multiLevelType w:val="hybridMultilevel"/>
    <w:tmpl w:val="DE1A0778"/>
    <w:lvl w:ilvl="0" w:tplc="04090019">
      <w:start w:val="1"/>
      <w:numFmt w:val="lowerLetter"/>
      <w:lvlText w:val="%1)"/>
      <w:lvlJc w:val="left"/>
      <w:pPr>
        <w:tabs>
          <w:tab w:val="num" w:pos="1080"/>
        </w:tabs>
        <w:ind w:left="1080" w:hanging="360"/>
      </w:pPr>
      <w:rPr>
        <w:rFonts w:cs="Times New Roman" w:hint="default"/>
        <w:b w:val="0"/>
        <w:i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11"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12"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575767">
    <w:abstractNumId w:val="13"/>
  </w:num>
  <w:num w:numId="2" w16cid:durableId="70660778">
    <w:abstractNumId w:val="5"/>
  </w:num>
  <w:num w:numId="3" w16cid:durableId="1319922416">
    <w:abstractNumId w:val="11"/>
  </w:num>
  <w:num w:numId="4" w16cid:durableId="476146216">
    <w:abstractNumId w:val="1"/>
  </w:num>
  <w:num w:numId="5" w16cid:durableId="1768308373">
    <w:abstractNumId w:val="3"/>
  </w:num>
  <w:num w:numId="6" w16cid:durableId="1309093402">
    <w:abstractNumId w:val="7"/>
  </w:num>
  <w:num w:numId="7" w16cid:durableId="2026705652">
    <w:abstractNumId w:val="10"/>
  </w:num>
  <w:num w:numId="8" w16cid:durableId="2062510656">
    <w:abstractNumId w:val="6"/>
  </w:num>
  <w:num w:numId="9" w16cid:durableId="937057147">
    <w:abstractNumId w:val="8"/>
  </w:num>
  <w:num w:numId="10" w16cid:durableId="1696811928">
    <w:abstractNumId w:val="9"/>
  </w:num>
  <w:num w:numId="11" w16cid:durableId="998732361">
    <w:abstractNumId w:val="12"/>
  </w:num>
  <w:num w:numId="12" w16cid:durableId="1501120724">
    <w:abstractNumId w:val="2"/>
  </w:num>
  <w:num w:numId="13" w16cid:durableId="1456757164">
    <w:abstractNumId w:val="4"/>
  </w:num>
  <w:num w:numId="14" w16cid:durableId="400756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930F6"/>
    <w:rsid w:val="00101CC6"/>
    <w:rsid w:val="00111252"/>
    <w:rsid w:val="001426AA"/>
    <w:rsid w:val="0014299F"/>
    <w:rsid w:val="00151E18"/>
    <w:rsid w:val="00296F77"/>
    <w:rsid w:val="002B3295"/>
    <w:rsid w:val="002B7E8D"/>
    <w:rsid w:val="002C3C63"/>
    <w:rsid w:val="002E2002"/>
    <w:rsid w:val="00355B83"/>
    <w:rsid w:val="003A7E5E"/>
    <w:rsid w:val="003C561A"/>
    <w:rsid w:val="00474D04"/>
    <w:rsid w:val="00476F6E"/>
    <w:rsid w:val="004D7F8B"/>
    <w:rsid w:val="005C68A4"/>
    <w:rsid w:val="005D1A85"/>
    <w:rsid w:val="00601077"/>
    <w:rsid w:val="006065EC"/>
    <w:rsid w:val="00617B3E"/>
    <w:rsid w:val="006663F3"/>
    <w:rsid w:val="006C38A6"/>
    <w:rsid w:val="006C4AEF"/>
    <w:rsid w:val="006F2690"/>
    <w:rsid w:val="00742038"/>
    <w:rsid w:val="00774B82"/>
    <w:rsid w:val="00792726"/>
    <w:rsid w:val="00842CB3"/>
    <w:rsid w:val="00926FFB"/>
    <w:rsid w:val="00953993"/>
    <w:rsid w:val="00965C35"/>
    <w:rsid w:val="009832C0"/>
    <w:rsid w:val="009B01F7"/>
    <w:rsid w:val="009D22BE"/>
    <w:rsid w:val="009F7EF4"/>
    <w:rsid w:val="00A07758"/>
    <w:rsid w:val="00A768FC"/>
    <w:rsid w:val="00AC4EB2"/>
    <w:rsid w:val="00AE0035"/>
    <w:rsid w:val="00B11B9B"/>
    <w:rsid w:val="00B32A37"/>
    <w:rsid w:val="00B353D1"/>
    <w:rsid w:val="00B375FF"/>
    <w:rsid w:val="00BA6BA9"/>
    <w:rsid w:val="00BC5824"/>
    <w:rsid w:val="00C178BC"/>
    <w:rsid w:val="00C4747D"/>
    <w:rsid w:val="00C77C0C"/>
    <w:rsid w:val="00C807CF"/>
    <w:rsid w:val="00CA4C89"/>
    <w:rsid w:val="00D3440D"/>
    <w:rsid w:val="00E14055"/>
    <w:rsid w:val="00E42392"/>
    <w:rsid w:val="00E570FF"/>
    <w:rsid w:val="00E60D22"/>
    <w:rsid w:val="00E85D9E"/>
    <w:rsid w:val="00EA0D60"/>
    <w:rsid w:val="00F330B4"/>
    <w:rsid w:val="00F402A7"/>
    <w:rsid w:val="00F50093"/>
    <w:rsid w:val="00F95487"/>
    <w:rsid w:val="00FD519E"/>
    <w:rsid w:val="00FD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8507"/>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notaalfinal">
    <w:name w:val="endnote text"/>
    <w:basedOn w:val="Normal"/>
    <w:link w:val="TextonotaalfinalCar"/>
    <w:uiPriority w:val="99"/>
    <w:semiHidden/>
    <w:unhideWhenUsed/>
    <w:rsid w:val="00742038"/>
    <w:rPr>
      <w:rFonts w:ascii="Calibri" w:eastAsia="Calibri" w:hAnsi="Calibri" w:cs="Times New Roman"/>
      <w:sz w:val="20"/>
      <w:szCs w:val="20"/>
      <w:lang w:val="es-CR"/>
    </w:rPr>
  </w:style>
  <w:style w:type="character" w:customStyle="1" w:styleId="TextonotaalfinalCar">
    <w:name w:val="Texto nota al final Car"/>
    <w:basedOn w:val="Fuentedeprrafopredeter"/>
    <w:link w:val="Textonotaalfinal"/>
    <w:uiPriority w:val="99"/>
    <w:semiHidden/>
    <w:rsid w:val="00742038"/>
    <w:rPr>
      <w:rFonts w:ascii="Calibri" w:eastAsia="Calibri" w:hAnsi="Calibri" w:cs="Times New Roman"/>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617</Words>
  <Characters>3395</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4</cp:revision>
  <cp:lastPrinted>2021-06-30T18:39:00Z</cp:lastPrinted>
  <dcterms:created xsi:type="dcterms:W3CDTF">2023-05-14T15:19:00Z</dcterms:created>
  <dcterms:modified xsi:type="dcterms:W3CDTF">2023-06-13T17:31:00Z</dcterms:modified>
</cp:coreProperties>
</file>