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67C" w:rsidRPr="00912B03" w:rsidRDefault="00F2567C" w:rsidP="00F2567C">
      <w:pPr>
        <w:spacing w:before="120" w:after="120"/>
        <w:jc w:val="center"/>
        <w:rPr>
          <w:rFonts w:cs="Verdana"/>
          <w:b/>
          <w:bCs/>
          <w:iCs/>
          <w:caps/>
          <w:sz w:val="20"/>
          <w:szCs w:val="20"/>
          <w:u w:val="single"/>
          <w:lang w:val="es-EC"/>
        </w:rPr>
      </w:pPr>
      <w:r w:rsidRPr="00912B03">
        <w:rPr>
          <w:rFonts w:cs="Verdana"/>
          <w:b/>
          <w:bCs/>
          <w:sz w:val="20"/>
          <w:szCs w:val="20"/>
          <w:u w:val="single"/>
          <w:lang w:val="es-EC"/>
        </w:rPr>
        <w:t>Caso González y otras (“Campo Algodonero”)</w:t>
      </w:r>
      <w:r w:rsidRPr="00912B03">
        <w:rPr>
          <w:rFonts w:cs="Verdana"/>
          <w:b/>
          <w:bCs/>
          <w:i/>
          <w:iCs/>
          <w:sz w:val="20"/>
          <w:szCs w:val="20"/>
          <w:u w:val="single"/>
          <w:lang w:val="es-EC"/>
        </w:rPr>
        <w:t xml:space="preserve"> Vs</w:t>
      </w:r>
      <w:r w:rsidRPr="00912B03">
        <w:rPr>
          <w:rFonts w:cs="Verdana"/>
          <w:b/>
          <w:bCs/>
          <w:iCs/>
          <w:sz w:val="20"/>
          <w:szCs w:val="20"/>
          <w:u w:val="single"/>
          <w:lang w:val="es-EC"/>
        </w:rPr>
        <w:t>.</w:t>
      </w:r>
      <w:r w:rsidRPr="00912B03">
        <w:rPr>
          <w:rFonts w:cs="Verdana"/>
          <w:b/>
          <w:bCs/>
          <w:i/>
          <w:iCs/>
          <w:sz w:val="20"/>
          <w:szCs w:val="20"/>
          <w:u w:val="single"/>
          <w:lang w:val="es-EC"/>
        </w:rPr>
        <w:t xml:space="preserve"> </w:t>
      </w:r>
      <w:r w:rsidRPr="00912B03">
        <w:rPr>
          <w:rFonts w:cs="Verdana"/>
          <w:b/>
          <w:bCs/>
          <w:iCs/>
          <w:sz w:val="20"/>
          <w:szCs w:val="20"/>
          <w:u w:val="single"/>
          <w:lang w:val="es-EC"/>
        </w:rPr>
        <w:t xml:space="preserve">México: reparaciones </w:t>
      </w:r>
      <w:r>
        <w:rPr>
          <w:rFonts w:cs="Verdana"/>
          <w:b/>
          <w:bCs/>
          <w:iCs/>
          <w:sz w:val="20"/>
          <w:szCs w:val="20"/>
          <w:u w:val="single"/>
          <w:lang w:val="es-EC"/>
        </w:rPr>
        <w:t>pendientes de cumplimiento</w:t>
      </w:r>
    </w:p>
    <w:p w:rsidR="006E7F48" w:rsidRDefault="00A27BD4">
      <w:pPr>
        <w:rPr>
          <w:lang w:val="es-EC"/>
        </w:rPr>
      </w:pPr>
    </w:p>
    <w:p w:rsidR="00F2567C" w:rsidRPr="00454415" w:rsidRDefault="00454415" w:rsidP="00454415">
      <w:pPr>
        <w:pStyle w:val="ListParagraph"/>
        <w:numPr>
          <w:ilvl w:val="0"/>
          <w:numId w:val="1"/>
        </w:numPr>
        <w:ind w:left="360"/>
        <w:jc w:val="both"/>
        <w:rPr>
          <w:sz w:val="20"/>
          <w:szCs w:val="20"/>
          <w:lang w:val="es-EC"/>
        </w:rPr>
      </w:pPr>
      <w:r>
        <w:rPr>
          <w:sz w:val="20"/>
          <w:szCs w:val="20"/>
          <w:lang w:val="es-EC"/>
        </w:rPr>
        <w:t>C</w:t>
      </w:r>
      <w:r w:rsidR="00F2567C" w:rsidRPr="00454415">
        <w:rPr>
          <w:sz w:val="20"/>
          <w:szCs w:val="20"/>
          <w:lang w:val="es-EC"/>
        </w:rPr>
        <w:t>onducir eficazmente el proceso penal en curso y, de ser el caso, los que se llegasen a abrir, para identificar, procesar y, en su caso, sancionar a los responsables materiales e intelectuales de la desaparición, maltratos y privación de la vida de las jóvenes González, Herrera y Ramos, conforme a las siguientes directrices:</w:t>
      </w:r>
    </w:p>
    <w:p w:rsidR="00454415" w:rsidRPr="00454415" w:rsidRDefault="00454415" w:rsidP="00454415">
      <w:pPr>
        <w:pStyle w:val="ListParagraph"/>
        <w:ind w:left="360" w:hanging="360"/>
        <w:jc w:val="both"/>
        <w:rPr>
          <w:sz w:val="20"/>
          <w:szCs w:val="20"/>
          <w:lang w:val="es-EC"/>
        </w:rPr>
      </w:pPr>
    </w:p>
    <w:p w:rsidR="00F2567C" w:rsidRPr="00454415" w:rsidRDefault="00F2567C" w:rsidP="00454415">
      <w:pPr>
        <w:pStyle w:val="ListParagraph"/>
        <w:numPr>
          <w:ilvl w:val="0"/>
          <w:numId w:val="2"/>
        </w:numPr>
        <w:ind w:left="720" w:hanging="360"/>
        <w:jc w:val="both"/>
        <w:rPr>
          <w:sz w:val="20"/>
          <w:szCs w:val="20"/>
          <w:lang w:val="es-EC"/>
        </w:rPr>
      </w:pPr>
      <w:r w:rsidRPr="00454415">
        <w:rPr>
          <w:sz w:val="20"/>
          <w:szCs w:val="20"/>
          <w:lang w:val="es-EC"/>
        </w:rPr>
        <w:t>se deberá remover todos los obstáculos de jure o de facto que impidan la debida investigación de los hechos y el desarrollo de los respectivos procesos judiciales, y usar todos los medios disponibles para hacer que las investigaciones y procesos judiciales sean expeditos a fin de evitar la repetición de hechos iguales o análogos a los del presente caso;</w:t>
      </w:r>
    </w:p>
    <w:p w:rsidR="00F2567C" w:rsidRPr="00454415" w:rsidRDefault="00F2567C" w:rsidP="00454415">
      <w:pPr>
        <w:ind w:left="720" w:hanging="360"/>
        <w:jc w:val="both"/>
        <w:rPr>
          <w:sz w:val="20"/>
          <w:szCs w:val="20"/>
          <w:lang w:val="es-EC"/>
        </w:rPr>
      </w:pPr>
      <w:r w:rsidRPr="00454415">
        <w:rPr>
          <w:sz w:val="20"/>
          <w:szCs w:val="20"/>
          <w:lang w:val="es-EC"/>
        </w:rPr>
        <w:t>ii)</w:t>
      </w:r>
      <w:r w:rsidRPr="00454415">
        <w:rPr>
          <w:sz w:val="20"/>
          <w:szCs w:val="20"/>
          <w:lang w:val="es-EC"/>
        </w:rPr>
        <w:tab/>
        <w:t xml:space="preserve">la investigación deberá incluir una perspectiva de género; emprender líneas de investigación específicas respecto a violencia sexual, para lo </w:t>
      </w:r>
      <w:proofErr w:type="spellStart"/>
      <w:r w:rsidRPr="00454415">
        <w:rPr>
          <w:sz w:val="20"/>
          <w:szCs w:val="20"/>
          <w:lang w:val="es-EC"/>
        </w:rPr>
        <w:t>cuál</w:t>
      </w:r>
      <w:proofErr w:type="spellEnd"/>
      <w:r w:rsidRPr="00454415">
        <w:rPr>
          <w:sz w:val="20"/>
          <w:szCs w:val="20"/>
          <w:lang w:val="es-EC"/>
        </w:rPr>
        <w:t xml:space="preserve"> se deben involucrar las líneas de investigación sobre los patrones respectivos en la zona; realizarse conforme a protocolos y manuales que cumplan con los lineamientos de esta Sentencia; proveer regularmente de información a los familiares de las víctimas sobre los avances en la investigación y darles pleno acceso a los expedientes, y realizarse por funcionarios altamente capacitados en casos similares y en atención a víctimas de discriminación y violencia por razón de género;</w:t>
      </w:r>
    </w:p>
    <w:p w:rsidR="00F2567C" w:rsidRPr="00454415" w:rsidRDefault="00F2567C" w:rsidP="00454415">
      <w:pPr>
        <w:ind w:left="720" w:hanging="360"/>
        <w:jc w:val="both"/>
        <w:rPr>
          <w:sz w:val="20"/>
          <w:szCs w:val="20"/>
          <w:lang w:val="es-EC"/>
        </w:rPr>
      </w:pPr>
      <w:r w:rsidRPr="00454415">
        <w:rPr>
          <w:sz w:val="20"/>
          <w:szCs w:val="20"/>
          <w:lang w:val="es-EC"/>
        </w:rPr>
        <w:t>iii)</w:t>
      </w:r>
      <w:r w:rsidRPr="00454415">
        <w:rPr>
          <w:sz w:val="20"/>
          <w:szCs w:val="20"/>
          <w:lang w:val="es-EC"/>
        </w:rPr>
        <w:tab/>
        <w:t>deberá asegurarse que los distintos órganos que participen en el procedimiento de investigación y los procesos judiciales cuenten con los recursos humanos y materiales necesarios para desempeñar las tareas de manera adecuada, independiente e imparcial, y que las personas que participen en la investigación cuenten con las debidas garantías de seguridad, y</w:t>
      </w:r>
    </w:p>
    <w:p w:rsidR="00F2567C" w:rsidRPr="00454415" w:rsidRDefault="00F2567C" w:rsidP="00454415">
      <w:pPr>
        <w:ind w:left="720" w:hanging="360"/>
        <w:jc w:val="both"/>
        <w:rPr>
          <w:sz w:val="20"/>
          <w:szCs w:val="20"/>
          <w:lang w:val="es-EC"/>
        </w:rPr>
      </w:pPr>
      <w:r w:rsidRPr="00454415">
        <w:rPr>
          <w:sz w:val="20"/>
          <w:szCs w:val="20"/>
          <w:lang w:val="es-EC"/>
        </w:rPr>
        <w:t>iv)</w:t>
      </w:r>
      <w:r w:rsidRPr="00454415">
        <w:rPr>
          <w:sz w:val="20"/>
          <w:szCs w:val="20"/>
          <w:lang w:val="es-EC"/>
        </w:rPr>
        <w:tab/>
        <w:t>los resultados de los procesos deberán ser públicamente divulgados para que la sociedad mexicana conozca los hechos objeto del presente caso.</w:t>
      </w:r>
    </w:p>
    <w:p w:rsidR="00F2567C" w:rsidRPr="00454415" w:rsidRDefault="00F2567C" w:rsidP="00454415">
      <w:pPr>
        <w:ind w:left="360" w:hanging="360"/>
        <w:jc w:val="both"/>
        <w:rPr>
          <w:sz w:val="20"/>
          <w:szCs w:val="20"/>
          <w:lang w:val="es-EC"/>
        </w:rPr>
      </w:pPr>
    </w:p>
    <w:p w:rsidR="00454415" w:rsidRDefault="00454415" w:rsidP="00454415">
      <w:pPr>
        <w:pStyle w:val="ListParagraph"/>
        <w:numPr>
          <w:ilvl w:val="0"/>
          <w:numId w:val="1"/>
        </w:numPr>
        <w:ind w:left="360"/>
        <w:jc w:val="both"/>
        <w:rPr>
          <w:sz w:val="20"/>
          <w:szCs w:val="20"/>
          <w:lang w:val="es-EC"/>
        </w:rPr>
      </w:pPr>
      <w:r>
        <w:rPr>
          <w:sz w:val="20"/>
          <w:szCs w:val="20"/>
          <w:lang w:val="es-EC"/>
        </w:rPr>
        <w:t>I</w:t>
      </w:r>
      <w:r w:rsidR="00F2567C" w:rsidRPr="00454415">
        <w:rPr>
          <w:sz w:val="20"/>
          <w:szCs w:val="20"/>
          <w:lang w:val="es-EC"/>
        </w:rPr>
        <w:t>nvestigar, por intermedio de las instituciones públicas competentes, a los funcionarios acusados de irregularidades y, luego de un debido proceso, aplicará las sanciones administrativas, disciplinarias o penales correspondientes a quienes fueran encontrados responsables, conforme a lo expuesto en los párrafos 456 a 460 de esta Sentencia.</w:t>
      </w:r>
    </w:p>
    <w:p w:rsidR="00454415" w:rsidRDefault="00454415" w:rsidP="00454415">
      <w:pPr>
        <w:pStyle w:val="ListParagraph"/>
        <w:ind w:left="360" w:hanging="360"/>
        <w:jc w:val="both"/>
        <w:rPr>
          <w:sz w:val="20"/>
          <w:szCs w:val="20"/>
          <w:lang w:val="es-EC"/>
        </w:rPr>
      </w:pPr>
    </w:p>
    <w:p w:rsidR="00454415" w:rsidRDefault="00454415" w:rsidP="00454415">
      <w:pPr>
        <w:pStyle w:val="ListParagraph"/>
        <w:numPr>
          <w:ilvl w:val="0"/>
          <w:numId w:val="1"/>
        </w:numPr>
        <w:ind w:left="360"/>
        <w:jc w:val="both"/>
        <w:rPr>
          <w:sz w:val="20"/>
          <w:szCs w:val="20"/>
          <w:lang w:val="es-EC"/>
        </w:rPr>
      </w:pPr>
      <w:r>
        <w:rPr>
          <w:sz w:val="20"/>
          <w:szCs w:val="20"/>
          <w:lang w:val="es-EC"/>
        </w:rPr>
        <w:t>R</w:t>
      </w:r>
      <w:r w:rsidR="00F2567C" w:rsidRPr="00454415">
        <w:rPr>
          <w:sz w:val="20"/>
          <w:szCs w:val="20"/>
          <w:lang w:val="es-EC"/>
        </w:rPr>
        <w:t xml:space="preserve">ealizar, dentro de un plazo razonable, las investigaciones correspondientes y, en su caso, sancionar a los responsables de los hostigamientos de los que han sido objeto Adrián Herrera Monreal, Benita </w:t>
      </w:r>
      <w:proofErr w:type="spellStart"/>
      <w:r w:rsidR="00F2567C" w:rsidRPr="00454415">
        <w:rPr>
          <w:sz w:val="20"/>
          <w:szCs w:val="20"/>
          <w:lang w:val="es-EC"/>
        </w:rPr>
        <w:t>Monárrez</w:t>
      </w:r>
      <w:proofErr w:type="spellEnd"/>
      <w:r w:rsidR="00F2567C" w:rsidRPr="00454415">
        <w:rPr>
          <w:sz w:val="20"/>
          <w:szCs w:val="20"/>
          <w:lang w:val="es-EC"/>
        </w:rPr>
        <w:t xml:space="preserve"> Salgado, Claudia Ivonne Ramos </w:t>
      </w:r>
      <w:proofErr w:type="spellStart"/>
      <w:r w:rsidR="00F2567C" w:rsidRPr="00454415">
        <w:rPr>
          <w:sz w:val="20"/>
          <w:szCs w:val="20"/>
          <w:lang w:val="es-EC"/>
        </w:rPr>
        <w:t>Monárrez</w:t>
      </w:r>
      <w:proofErr w:type="spellEnd"/>
      <w:r w:rsidR="00F2567C" w:rsidRPr="00454415">
        <w:rPr>
          <w:sz w:val="20"/>
          <w:szCs w:val="20"/>
          <w:lang w:val="es-EC"/>
        </w:rPr>
        <w:t xml:space="preserve">, Daniel Ramos </w:t>
      </w:r>
      <w:proofErr w:type="spellStart"/>
      <w:r w:rsidR="00F2567C" w:rsidRPr="00454415">
        <w:rPr>
          <w:sz w:val="20"/>
          <w:szCs w:val="20"/>
          <w:lang w:val="es-EC"/>
        </w:rPr>
        <w:t>Monárrez</w:t>
      </w:r>
      <w:proofErr w:type="spellEnd"/>
      <w:r w:rsidR="00F2567C" w:rsidRPr="00454415">
        <w:rPr>
          <w:sz w:val="20"/>
          <w:szCs w:val="20"/>
          <w:lang w:val="es-EC"/>
        </w:rPr>
        <w:t xml:space="preserve">, Ramón Antonio Aragón </w:t>
      </w:r>
      <w:proofErr w:type="spellStart"/>
      <w:r w:rsidR="00F2567C" w:rsidRPr="00454415">
        <w:rPr>
          <w:sz w:val="20"/>
          <w:szCs w:val="20"/>
          <w:lang w:val="es-EC"/>
        </w:rPr>
        <w:t>Monárrez</w:t>
      </w:r>
      <w:proofErr w:type="spellEnd"/>
      <w:r w:rsidR="00F2567C" w:rsidRPr="00454415">
        <w:rPr>
          <w:sz w:val="20"/>
          <w:szCs w:val="20"/>
          <w:lang w:val="es-EC"/>
        </w:rPr>
        <w:t xml:space="preserve">, Claudia Dayana Bermúdez Ramos, Itzel Arely Bermúdez Ramos, Paola Alexandra Bermúdez Ramos y </w:t>
      </w:r>
      <w:proofErr w:type="spellStart"/>
      <w:r w:rsidR="00F2567C" w:rsidRPr="00454415">
        <w:rPr>
          <w:sz w:val="20"/>
          <w:szCs w:val="20"/>
          <w:lang w:val="es-EC"/>
        </w:rPr>
        <w:t>Atziri</w:t>
      </w:r>
      <w:proofErr w:type="spellEnd"/>
      <w:r w:rsidR="00F2567C" w:rsidRPr="00454415">
        <w:rPr>
          <w:sz w:val="20"/>
          <w:szCs w:val="20"/>
          <w:lang w:val="es-EC"/>
        </w:rPr>
        <w:t xml:space="preserve"> Geraldine Bermúdez Ramos, de conformidad con lo expuesto en los párrafos 461 y 462 de esta Sentencia.</w:t>
      </w:r>
    </w:p>
    <w:p w:rsidR="00454415" w:rsidRPr="00454415" w:rsidRDefault="00454415" w:rsidP="00454415">
      <w:pPr>
        <w:pStyle w:val="ListParagraph"/>
        <w:ind w:left="360" w:hanging="360"/>
        <w:rPr>
          <w:sz w:val="20"/>
          <w:szCs w:val="20"/>
          <w:lang w:val="es-EC"/>
        </w:rPr>
      </w:pPr>
    </w:p>
    <w:p w:rsidR="00F2567C" w:rsidRDefault="00454415" w:rsidP="00454415">
      <w:pPr>
        <w:pStyle w:val="ListParagraph"/>
        <w:numPr>
          <w:ilvl w:val="0"/>
          <w:numId w:val="1"/>
        </w:numPr>
        <w:ind w:left="360"/>
        <w:jc w:val="both"/>
        <w:rPr>
          <w:sz w:val="20"/>
          <w:szCs w:val="20"/>
          <w:lang w:val="es-EC"/>
        </w:rPr>
      </w:pPr>
      <w:r>
        <w:rPr>
          <w:sz w:val="20"/>
          <w:szCs w:val="20"/>
          <w:lang w:val="es-EC"/>
        </w:rPr>
        <w:t>A</w:t>
      </w:r>
      <w:r w:rsidR="00F2567C" w:rsidRPr="00454415">
        <w:rPr>
          <w:sz w:val="20"/>
          <w:szCs w:val="20"/>
          <w:lang w:val="es-EC"/>
        </w:rPr>
        <w:t>decuar el Protocolo Alba, o en su defecto implementar un nuevo dispositivo análogo, conforme a las siguientes directrices, debiendo rendir un informe anual durante tres años:</w:t>
      </w:r>
    </w:p>
    <w:p w:rsidR="00A27BD4" w:rsidRPr="00A27BD4" w:rsidRDefault="00A27BD4" w:rsidP="00A27BD4">
      <w:pPr>
        <w:jc w:val="both"/>
        <w:rPr>
          <w:sz w:val="20"/>
          <w:szCs w:val="20"/>
          <w:lang w:val="es-EC"/>
        </w:rPr>
      </w:pPr>
      <w:bookmarkStart w:id="0" w:name="_GoBack"/>
      <w:bookmarkEnd w:id="0"/>
    </w:p>
    <w:p w:rsidR="00F2567C" w:rsidRPr="00454415" w:rsidRDefault="00F2567C" w:rsidP="00454415">
      <w:pPr>
        <w:ind w:left="720" w:hanging="360"/>
        <w:jc w:val="both"/>
        <w:rPr>
          <w:sz w:val="20"/>
          <w:szCs w:val="20"/>
          <w:lang w:val="es-EC"/>
        </w:rPr>
      </w:pPr>
      <w:r w:rsidRPr="00454415">
        <w:rPr>
          <w:sz w:val="20"/>
          <w:szCs w:val="20"/>
          <w:lang w:val="es-EC"/>
        </w:rPr>
        <w:t xml:space="preserve">i) </w:t>
      </w:r>
      <w:r w:rsidRPr="00454415">
        <w:rPr>
          <w:sz w:val="20"/>
          <w:szCs w:val="20"/>
          <w:lang w:val="es-EC"/>
        </w:rPr>
        <w:tab/>
        <w:t xml:space="preserve">implementar búsquedas de oficio y sin dilación alguna, cuando se presenten casos de desaparición, como una medida tendiente a proteger la vida, libertad personal y la integridad personal de la persona desaparecida; </w:t>
      </w:r>
    </w:p>
    <w:p w:rsidR="00F2567C" w:rsidRPr="00454415" w:rsidRDefault="00F2567C" w:rsidP="00454415">
      <w:pPr>
        <w:ind w:left="720" w:hanging="360"/>
        <w:jc w:val="both"/>
        <w:rPr>
          <w:sz w:val="20"/>
          <w:szCs w:val="20"/>
          <w:lang w:val="es-EC"/>
        </w:rPr>
      </w:pPr>
      <w:r w:rsidRPr="00454415">
        <w:rPr>
          <w:sz w:val="20"/>
          <w:szCs w:val="20"/>
          <w:lang w:val="es-EC"/>
        </w:rPr>
        <w:t xml:space="preserve">ii) </w:t>
      </w:r>
      <w:r w:rsidRPr="00454415">
        <w:rPr>
          <w:sz w:val="20"/>
          <w:szCs w:val="20"/>
          <w:lang w:val="es-EC"/>
        </w:rPr>
        <w:tab/>
        <w:t xml:space="preserve">establecer un trabajo coordinado entre diferentes cuerpos de seguridad para dar con el paradero de la persona; </w:t>
      </w:r>
    </w:p>
    <w:p w:rsidR="00F2567C" w:rsidRPr="00454415" w:rsidRDefault="00F2567C" w:rsidP="00454415">
      <w:pPr>
        <w:ind w:left="720" w:hanging="360"/>
        <w:jc w:val="both"/>
        <w:rPr>
          <w:sz w:val="20"/>
          <w:szCs w:val="20"/>
          <w:lang w:val="es-EC"/>
        </w:rPr>
      </w:pPr>
      <w:r w:rsidRPr="00454415">
        <w:rPr>
          <w:sz w:val="20"/>
          <w:szCs w:val="20"/>
          <w:lang w:val="es-EC"/>
        </w:rPr>
        <w:lastRenderedPageBreak/>
        <w:t xml:space="preserve">iii) </w:t>
      </w:r>
      <w:r w:rsidRPr="00454415">
        <w:rPr>
          <w:sz w:val="20"/>
          <w:szCs w:val="20"/>
          <w:lang w:val="es-EC"/>
        </w:rPr>
        <w:tab/>
        <w:t xml:space="preserve">eliminar cualquier obstáculo de hecho o de derecho que le reste efectividad a la búsqueda o que haga imposible su inicio como exigir investigaciones o procedimientos preliminares; </w:t>
      </w:r>
    </w:p>
    <w:p w:rsidR="00F2567C" w:rsidRPr="00454415" w:rsidRDefault="00F2567C" w:rsidP="00454415">
      <w:pPr>
        <w:ind w:left="720" w:hanging="360"/>
        <w:jc w:val="both"/>
        <w:rPr>
          <w:sz w:val="20"/>
          <w:szCs w:val="20"/>
          <w:lang w:val="es-EC"/>
        </w:rPr>
      </w:pPr>
      <w:r w:rsidRPr="00454415">
        <w:rPr>
          <w:sz w:val="20"/>
          <w:szCs w:val="20"/>
          <w:lang w:val="es-EC"/>
        </w:rPr>
        <w:t xml:space="preserve">iv) </w:t>
      </w:r>
      <w:r w:rsidRPr="00454415">
        <w:rPr>
          <w:sz w:val="20"/>
          <w:szCs w:val="20"/>
          <w:lang w:val="es-EC"/>
        </w:rPr>
        <w:tab/>
        <w:t xml:space="preserve">asignar los recursos humanos, económicos, logísticos, científicos o de cualquier índole que sean necesarios para el éxito de la búsqueda; </w:t>
      </w:r>
    </w:p>
    <w:p w:rsidR="00F2567C" w:rsidRPr="00454415" w:rsidRDefault="00F2567C" w:rsidP="00454415">
      <w:pPr>
        <w:ind w:left="720" w:hanging="360"/>
        <w:jc w:val="both"/>
        <w:rPr>
          <w:sz w:val="20"/>
          <w:szCs w:val="20"/>
          <w:lang w:val="es-EC"/>
        </w:rPr>
      </w:pPr>
      <w:r w:rsidRPr="00454415">
        <w:rPr>
          <w:sz w:val="20"/>
          <w:szCs w:val="20"/>
          <w:lang w:val="es-EC"/>
        </w:rPr>
        <w:t xml:space="preserve">v) </w:t>
      </w:r>
      <w:r w:rsidRPr="00454415">
        <w:rPr>
          <w:sz w:val="20"/>
          <w:szCs w:val="20"/>
          <w:lang w:val="es-EC"/>
        </w:rPr>
        <w:tab/>
        <w:t xml:space="preserve">confrontar el reporte de desaparición con la base de datos de personas desaparecidas referida en los párrafos 509 a 512 supra, y </w:t>
      </w:r>
    </w:p>
    <w:p w:rsidR="00F2567C" w:rsidRPr="00454415" w:rsidRDefault="00F2567C" w:rsidP="00454415">
      <w:pPr>
        <w:ind w:left="720" w:hanging="360"/>
        <w:jc w:val="both"/>
        <w:rPr>
          <w:sz w:val="20"/>
          <w:szCs w:val="20"/>
          <w:lang w:val="es-EC"/>
        </w:rPr>
      </w:pPr>
      <w:proofErr w:type="gramStart"/>
      <w:r w:rsidRPr="00454415">
        <w:rPr>
          <w:sz w:val="20"/>
          <w:szCs w:val="20"/>
          <w:lang w:val="es-EC"/>
        </w:rPr>
        <w:t>vi</w:t>
      </w:r>
      <w:proofErr w:type="gramEnd"/>
      <w:r w:rsidRPr="00454415">
        <w:rPr>
          <w:sz w:val="20"/>
          <w:szCs w:val="20"/>
          <w:lang w:val="es-EC"/>
        </w:rPr>
        <w:t xml:space="preserve">) </w:t>
      </w:r>
      <w:r w:rsidRPr="00454415">
        <w:rPr>
          <w:sz w:val="20"/>
          <w:szCs w:val="20"/>
          <w:lang w:val="es-EC"/>
        </w:rPr>
        <w:tab/>
        <w:t xml:space="preserve">priorizar las búsquedas en áreas donde razonablemente sea más probable encontrar a la persona desaparecida sin descartar arbitrariamente otras posibilidades o áreas de búsqueda. Todo lo anterior deberá ser aún más urgente y riguroso cuando la desaparecida sea una niña. </w:t>
      </w:r>
    </w:p>
    <w:p w:rsidR="00F2567C" w:rsidRPr="00454415" w:rsidRDefault="00F2567C" w:rsidP="00454415">
      <w:pPr>
        <w:ind w:left="360" w:hanging="360"/>
        <w:jc w:val="both"/>
        <w:rPr>
          <w:sz w:val="20"/>
          <w:szCs w:val="20"/>
          <w:lang w:val="es-EC"/>
        </w:rPr>
      </w:pPr>
    </w:p>
    <w:p w:rsidR="00F2567C" w:rsidRPr="00454415" w:rsidRDefault="00F2567C" w:rsidP="00454415">
      <w:pPr>
        <w:pStyle w:val="ListParagraph"/>
        <w:numPr>
          <w:ilvl w:val="0"/>
          <w:numId w:val="1"/>
        </w:numPr>
        <w:ind w:left="360"/>
        <w:jc w:val="both"/>
        <w:rPr>
          <w:sz w:val="20"/>
          <w:szCs w:val="20"/>
          <w:lang w:val="es-EC"/>
        </w:rPr>
      </w:pPr>
      <w:r w:rsidRPr="00454415">
        <w:rPr>
          <w:sz w:val="20"/>
          <w:szCs w:val="20"/>
          <w:lang w:val="es-EC"/>
        </w:rPr>
        <w:t xml:space="preserve">El Estado deberá, dentro del plazo de un año a partir de la notificación de esta Sentencia y de conformidad con los párrafos 509 a 512 de la misma, crear o actualizar una base de datos que contenga: </w:t>
      </w:r>
    </w:p>
    <w:p w:rsidR="00454415" w:rsidRPr="00454415" w:rsidRDefault="00454415" w:rsidP="00454415">
      <w:pPr>
        <w:pStyle w:val="ListParagraph"/>
        <w:ind w:left="360" w:hanging="360"/>
        <w:jc w:val="both"/>
        <w:rPr>
          <w:sz w:val="20"/>
          <w:szCs w:val="20"/>
          <w:lang w:val="es-EC"/>
        </w:rPr>
      </w:pPr>
    </w:p>
    <w:p w:rsidR="00F2567C" w:rsidRPr="00454415" w:rsidRDefault="00F2567C" w:rsidP="00454415">
      <w:pPr>
        <w:ind w:left="720" w:hanging="360"/>
        <w:jc w:val="both"/>
        <w:rPr>
          <w:sz w:val="20"/>
          <w:szCs w:val="20"/>
          <w:lang w:val="es-EC"/>
        </w:rPr>
      </w:pPr>
      <w:r w:rsidRPr="00454415">
        <w:rPr>
          <w:sz w:val="20"/>
          <w:szCs w:val="20"/>
          <w:lang w:val="es-EC"/>
        </w:rPr>
        <w:t>i)</w:t>
      </w:r>
      <w:r w:rsidRPr="00454415">
        <w:rPr>
          <w:sz w:val="20"/>
          <w:szCs w:val="20"/>
          <w:lang w:val="es-EC"/>
        </w:rPr>
        <w:tab/>
        <w:t>la información personal disponible de mujeres y niñas desaparecidas a nivel nacional;</w:t>
      </w:r>
    </w:p>
    <w:p w:rsidR="00F2567C" w:rsidRPr="00454415" w:rsidRDefault="00F2567C" w:rsidP="00454415">
      <w:pPr>
        <w:ind w:left="720" w:hanging="360"/>
        <w:jc w:val="both"/>
        <w:rPr>
          <w:sz w:val="20"/>
          <w:szCs w:val="20"/>
          <w:lang w:val="es-EC"/>
        </w:rPr>
      </w:pPr>
      <w:r w:rsidRPr="00454415">
        <w:rPr>
          <w:sz w:val="20"/>
          <w:szCs w:val="20"/>
          <w:lang w:val="es-EC"/>
        </w:rPr>
        <w:t>ii)</w:t>
      </w:r>
      <w:r w:rsidRPr="00454415">
        <w:rPr>
          <w:sz w:val="20"/>
          <w:szCs w:val="20"/>
          <w:lang w:val="es-EC"/>
        </w:rPr>
        <w:tab/>
        <w:t xml:space="preserve">la información personal que sea necesaria, principalmente genética y muestras celulares, de los familiares de las personas desaparecidas que consientan –o que así lo ordene un juez- para que el Estado almacene dicha información personal únicamente con objeto de localizar a la persona desaparecida, y </w:t>
      </w:r>
    </w:p>
    <w:p w:rsidR="00F2567C" w:rsidRPr="00454415" w:rsidRDefault="00F2567C" w:rsidP="00454415">
      <w:pPr>
        <w:ind w:left="720" w:hanging="360"/>
        <w:jc w:val="both"/>
        <w:rPr>
          <w:sz w:val="20"/>
          <w:szCs w:val="20"/>
          <w:lang w:val="es-EC"/>
        </w:rPr>
      </w:pPr>
      <w:r w:rsidRPr="00454415">
        <w:rPr>
          <w:sz w:val="20"/>
          <w:szCs w:val="20"/>
          <w:lang w:val="es-EC"/>
        </w:rPr>
        <w:t>iii)</w:t>
      </w:r>
      <w:r w:rsidRPr="00454415">
        <w:rPr>
          <w:sz w:val="20"/>
          <w:szCs w:val="20"/>
          <w:lang w:val="es-EC"/>
        </w:rPr>
        <w:tab/>
        <w:t xml:space="preserve">la información genética y muestras celulares provenientes de los cuerpos de cualquier mujer o niña no identificada que fuera privada de la vida en el estado de Chihuahua. </w:t>
      </w:r>
    </w:p>
    <w:p w:rsidR="00F2567C" w:rsidRPr="00454415" w:rsidRDefault="00F2567C" w:rsidP="00454415">
      <w:pPr>
        <w:ind w:left="360" w:hanging="360"/>
        <w:jc w:val="both"/>
        <w:rPr>
          <w:sz w:val="20"/>
          <w:szCs w:val="20"/>
          <w:lang w:val="es-EC"/>
        </w:rPr>
      </w:pPr>
    </w:p>
    <w:p w:rsidR="00F2567C" w:rsidRPr="00454415" w:rsidRDefault="00454415" w:rsidP="00454415">
      <w:pPr>
        <w:pStyle w:val="ListParagraph"/>
        <w:numPr>
          <w:ilvl w:val="0"/>
          <w:numId w:val="1"/>
        </w:numPr>
        <w:ind w:left="360"/>
        <w:jc w:val="both"/>
        <w:rPr>
          <w:sz w:val="20"/>
          <w:szCs w:val="20"/>
          <w:lang w:val="es-EC"/>
        </w:rPr>
      </w:pPr>
      <w:r>
        <w:rPr>
          <w:sz w:val="20"/>
          <w:szCs w:val="20"/>
          <w:lang w:val="es-EC"/>
        </w:rPr>
        <w:t>B</w:t>
      </w:r>
      <w:r w:rsidR="00F2567C" w:rsidRPr="00454415">
        <w:rPr>
          <w:sz w:val="20"/>
          <w:szCs w:val="20"/>
          <w:lang w:val="es-EC"/>
        </w:rPr>
        <w:t xml:space="preserve">rindar atención médica, psicológica o psiquiátrica gratuita, de forma inmediata, adecuada y efectiva, a través de instituciones estatales de salud especializadas, a Irma Monreal Jaime, Benigno Herrera Monreal, Adrián Herrera Monreal, Juan Antonio Herrera Monreal, Cecilia Herrera Monreal, Zulema Montijo Monreal, Erick Montijo Monreal, Juana </w:t>
      </w:r>
      <w:proofErr w:type="spellStart"/>
      <w:r w:rsidR="00F2567C" w:rsidRPr="00454415">
        <w:rPr>
          <w:sz w:val="20"/>
          <w:szCs w:val="20"/>
          <w:lang w:val="es-EC"/>
        </w:rPr>
        <w:t>Ballín</w:t>
      </w:r>
      <w:proofErr w:type="spellEnd"/>
      <w:r w:rsidR="00F2567C" w:rsidRPr="00454415">
        <w:rPr>
          <w:sz w:val="20"/>
          <w:szCs w:val="20"/>
          <w:lang w:val="es-EC"/>
        </w:rPr>
        <w:t xml:space="preserve"> Castro, Irma Josefina González Rodríguez, </w:t>
      </w:r>
      <w:proofErr w:type="spellStart"/>
      <w:r w:rsidR="00F2567C" w:rsidRPr="00454415">
        <w:rPr>
          <w:sz w:val="20"/>
          <w:szCs w:val="20"/>
          <w:lang w:val="es-EC"/>
        </w:rPr>
        <w:t>Mayela</w:t>
      </w:r>
      <w:proofErr w:type="spellEnd"/>
      <w:r w:rsidR="00F2567C" w:rsidRPr="00454415">
        <w:rPr>
          <w:sz w:val="20"/>
          <w:szCs w:val="20"/>
          <w:lang w:val="es-EC"/>
        </w:rPr>
        <w:t xml:space="preserve"> Banda González, Gema Iris González, Karla </w:t>
      </w:r>
      <w:proofErr w:type="spellStart"/>
      <w:r w:rsidR="00F2567C" w:rsidRPr="00454415">
        <w:rPr>
          <w:sz w:val="20"/>
          <w:szCs w:val="20"/>
          <w:lang w:val="es-EC"/>
        </w:rPr>
        <w:t>Arizbeth</w:t>
      </w:r>
      <w:proofErr w:type="spellEnd"/>
      <w:r w:rsidR="00F2567C" w:rsidRPr="00454415">
        <w:rPr>
          <w:sz w:val="20"/>
          <w:szCs w:val="20"/>
          <w:lang w:val="es-EC"/>
        </w:rPr>
        <w:t xml:space="preserve"> Hernández Banda, Jacqueline Hernández, Carlos Hernández Llamas, Benita </w:t>
      </w:r>
      <w:proofErr w:type="spellStart"/>
      <w:r w:rsidR="00F2567C" w:rsidRPr="00454415">
        <w:rPr>
          <w:sz w:val="20"/>
          <w:szCs w:val="20"/>
          <w:lang w:val="es-EC"/>
        </w:rPr>
        <w:t>Monárrez</w:t>
      </w:r>
      <w:proofErr w:type="spellEnd"/>
      <w:r w:rsidR="00F2567C" w:rsidRPr="00454415">
        <w:rPr>
          <w:sz w:val="20"/>
          <w:szCs w:val="20"/>
          <w:lang w:val="es-EC"/>
        </w:rPr>
        <w:t xml:space="preserve"> Salgado, Claudia Ivonne Ramos </w:t>
      </w:r>
      <w:proofErr w:type="spellStart"/>
      <w:r w:rsidR="00F2567C" w:rsidRPr="00454415">
        <w:rPr>
          <w:sz w:val="20"/>
          <w:szCs w:val="20"/>
          <w:lang w:val="es-EC"/>
        </w:rPr>
        <w:t>Monárrez</w:t>
      </w:r>
      <w:proofErr w:type="spellEnd"/>
      <w:r w:rsidR="00F2567C" w:rsidRPr="00454415">
        <w:rPr>
          <w:sz w:val="20"/>
          <w:szCs w:val="20"/>
          <w:lang w:val="es-EC"/>
        </w:rPr>
        <w:t xml:space="preserve">, Daniel Ramos </w:t>
      </w:r>
      <w:proofErr w:type="spellStart"/>
      <w:r w:rsidR="00F2567C" w:rsidRPr="00454415">
        <w:rPr>
          <w:sz w:val="20"/>
          <w:szCs w:val="20"/>
          <w:lang w:val="es-EC"/>
        </w:rPr>
        <w:t>Monárrez</w:t>
      </w:r>
      <w:proofErr w:type="spellEnd"/>
      <w:r w:rsidR="00F2567C" w:rsidRPr="00454415">
        <w:rPr>
          <w:sz w:val="20"/>
          <w:szCs w:val="20"/>
          <w:lang w:val="es-EC"/>
        </w:rPr>
        <w:t xml:space="preserve">, Ramón Antonio Aragón </w:t>
      </w:r>
      <w:proofErr w:type="spellStart"/>
      <w:r w:rsidR="00F2567C" w:rsidRPr="00454415">
        <w:rPr>
          <w:sz w:val="20"/>
          <w:szCs w:val="20"/>
          <w:lang w:val="es-EC"/>
        </w:rPr>
        <w:t>Monárrez</w:t>
      </w:r>
      <w:proofErr w:type="spellEnd"/>
      <w:r w:rsidR="00F2567C" w:rsidRPr="00454415">
        <w:rPr>
          <w:sz w:val="20"/>
          <w:szCs w:val="20"/>
          <w:lang w:val="es-EC"/>
        </w:rPr>
        <w:t xml:space="preserve">, Claudia Dayana Bermúdez Ramos, Itzel Arely Bermúdez Ramos, Paola Alexandra Bermúdez Ramos y </w:t>
      </w:r>
      <w:proofErr w:type="spellStart"/>
      <w:r w:rsidR="00F2567C" w:rsidRPr="00454415">
        <w:rPr>
          <w:sz w:val="20"/>
          <w:szCs w:val="20"/>
          <w:lang w:val="es-EC"/>
        </w:rPr>
        <w:t>Atziri</w:t>
      </w:r>
      <w:proofErr w:type="spellEnd"/>
      <w:r w:rsidR="00F2567C" w:rsidRPr="00454415">
        <w:rPr>
          <w:sz w:val="20"/>
          <w:szCs w:val="20"/>
          <w:lang w:val="es-EC"/>
        </w:rPr>
        <w:t xml:space="preserve"> Geraldine Bermúdez Ramos, si éstos así lo desean, en los términos de los párrafos 544 a 549 de esta Sentencia.</w:t>
      </w:r>
    </w:p>
    <w:p w:rsidR="00F2567C" w:rsidRPr="00454415" w:rsidRDefault="00F2567C" w:rsidP="00F2567C">
      <w:pPr>
        <w:jc w:val="both"/>
        <w:rPr>
          <w:sz w:val="20"/>
          <w:szCs w:val="20"/>
          <w:lang w:val="es-EC"/>
        </w:rPr>
      </w:pPr>
    </w:p>
    <w:p w:rsidR="00F2567C" w:rsidRPr="00F2567C" w:rsidRDefault="00F2567C">
      <w:pPr>
        <w:rPr>
          <w:lang w:val="es-EC"/>
        </w:rPr>
      </w:pPr>
    </w:p>
    <w:sectPr w:rsidR="00F2567C" w:rsidRPr="00F2567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67C" w:rsidRDefault="00F2567C" w:rsidP="00F2567C">
      <w:r>
        <w:separator/>
      </w:r>
    </w:p>
  </w:endnote>
  <w:endnote w:type="continuationSeparator" w:id="0">
    <w:p w:rsidR="00F2567C" w:rsidRDefault="00F2567C" w:rsidP="00F2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7C" w:rsidRPr="00825A78" w:rsidRDefault="00F2567C" w:rsidP="00F2567C">
    <w:pPr>
      <w:jc w:val="both"/>
      <w:rPr>
        <w:bCs/>
        <w:szCs w:val="16"/>
        <w:lang w:val="es-MX"/>
      </w:rPr>
    </w:pPr>
    <w:r w:rsidRPr="00825A78">
      <w:rPr>
        <w:bCs/>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F2567C" w:rsidRPr="00F2567C" w:rsidRDefault="00F2567C" w:rsidP="00F2567C">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67C" w:rsidRDefault="00F2567C" w:rsidP="00F2567C">
      <w:r>
        <w:separator/>
      </w:r>
    </w:p>
  </w:footnote>
  <w:footnote w:type="continuationSeparator" w:id="0">
    <w:p w:rsidR="00F2567C" w:rsidRDefault="00F2567C" w:rsidP="00F25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013024"/>
      <w:docPartObj>
        <w:docPartGallery w:val="Page Numbers (Top of Page)"/>
        <w:docPartUnique/>
      </w:docPartObj>
    </w:sdtPr>
    <w:sdtEndPr>
      <w:rPr>
        <w:noProof/>
        <w:sz w:val="20"/>
        <w:szCs w:val="20"/>
      </w:rPr>
    </w:sdtEndPr>
    <w:sdtContent>
      <w:p w:rsidR="00F2567C" w:rsidRPr="00F2567C" w:rsidRDefault="00F2567C">
        <w:pPr>
          <w:pStyle w:val="Header"/>
          <w:jc w:val="right"/>
          <w:rPr>
            <w:sz w:val="20"/>
            <w:szCs w:val="20"/>
          </w:rPr>
        </w:pPr>
        <w:r w:rsidRPr="00F2567C">
          <w:rPr>
            <w:sz w:val="20"/>
            <w:szCs w:val="20"/>
          </w:rPr>
          <w:fldChar w:fldCharType="begin"/>
        </w:r>
        <w:r w:rsidRPr="00F2567C">
          <w:rPr>
            <w:sz w:val="20"/>
            <w:szCs w:val="20"/>
          </w:rPr>
          <w:instrText xml:space="preserve"> PAGE   \* MERGEFORMAT </w:instrText>
        </w:r>
        <w:r w:rsidRPr="00F2567C">
          <w:rPr>
            <w:sz w:val="20"/>
            <w:szCs w:val="20"/>
          </w:rPr>
          <w:fldChar w:fldCharType="separate"/>
        </w:r>
        <w:r w:rsidR="00A27BD4">
          <w:rPr>
            <w:noProof/>
            <w:sz w:val="20"/>
            <w:szCs w:val="20"/>
          </w:rPr>
          <w:t>2</w:t>
        </w:r>
        <w:r w:rsidRPr="00F2567C">
          <w:rPr>
            <w:noProof/>
            <w:sz w:val="20"/>
            <w:szCs w:val="20"/>
          </w:rPr>
          <w:fldChar w:fldCharType="end"/>
        </w:r>
      </w:p>
    </w:sdtContent>
  </w:sdt>
  <w:p w:rsidR="00F2567C" w:rsidRDefault="00F256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6D9C"/>
    <w:multiLevelType w:val="hybridMultilevel"/>
    <w:tmpl w:val="F8D0D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8B09C0"/>
    <w:multiLevelType w:val="hybridMultilevel"/>
    <w:tmpl w:val="A6C8D4D0"/>
    <w:lvl w:ilvl="0" w:tplc="2F72710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7C"/>
    <w:rsid w:val="003A7E5E"/>
    <w:rsid w:val="003B4778"/>
    <w:rsid w:val="00454415"/>
    <w:rsid w:val="009832C0"/>
    <w:rsid w:val="00A27BD4"/>
    <w:rsid w:val="00F2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67C"/>
    <w:pPr>
      <w:spacing w:after="0" w:line="240" w:lineRule="auto"/>
    </w:pPr>
    <w:rPr>
      <w:rFonts w:ascii="Verdana" w:eastAsia="Times New Roman" w:hAnsi="Verdana" w:cs="Times"/>
      <w:sz w:val="16"/>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67C"/>
    <w:pPr>
      <w:tabs>
        <w:tab w:val="center" w:pos="4680"/>
        <w:tab w:val="right" w:pos="9360"/>
      </w:tabs>
    </w:pPr>
  </w:style>
  <w:style w:type="character" w:customStyle="1" w:styleId="HeaderChar">
    <w:name w:val="Header Char"/>
    <w:basedOn w:val="DefaultParagraphFont"/>
    <w:link w:val="Header"/>
    <w:uiPriority w:val="99"/>
    <w:rsid w:val="00F2567C"/>
    <w:rPr>
      <w:rFonts w:ascii="Verdana" w:eastAsia="Times New Roman" w:hAnsi="Verdana" w:cs="Times"/>
      <w:sz w:val="16"/>
      <w:szCs w:val="24"/>
      <w:lang w:val="es-ES_tradnl"/>
    </w:rPr>
  </w:style>
  <w:style w:type="paragraph" w:styleId="Footer">
    <w:name w:val="footer"/>
    <w:basedOn w:val="Normal"/>
    <w:link w:val="FooterChar"/>
    <w:uiPriority w:val="99"/>
    <w:unhideWhenUsed/>
    <w:rsid w:val="00F2567C"/>
    <w:pPr>
      <w:tabs>
        <w:tab w:val="center" w:pos="4680"/>
        <w:tab w:val="right" w:pos="9360"/>
      </w:tabs>
    </w:pPr>
  </w:style>
  <w:style w:type="character" w:customStyle="1" w:styleId="FooterChar">
    <w:name w:val="Footer Char"/>
    <w:basedOn w:val="DefaultParagraphFont"/>
    <w:link w:val="Footer"/>
    <w:uiPriority w:val="99"/>
    <w:rsid w:val="00F2567C"/>
    <w:rPr>
      <w:rFonts w:ascii="Verdana" w:eastAsia="Times New Roman" w:hAnsi="Verdana" w:cs="Times"/>
      <w:sz w:val="16"/>
      <w:szCs w:val="24"/>
      <w:lang w:val="es-ES_tradnl"/>
    </w:rPr>
  </w:style>
  <w:style w:type="paragraph" w:styleId="ListParagraph">
    <w:name w:val="List Paragraph"/>
    <w:basedOn w:val="Normal"/>
    <w:uiPriority w:val="34"/>
    <w:qFormat/>
    <w:rsid w:val="004544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67C"/>
    <w:pPr>
      <w:spacing w:after="0" w:line="240" w:lineRule="auto"/>
    </w:pPr>
    <w:rPr>
      <w:rFonts w:ascii="Verdana" w:eastAsia="Times New Roman" w:hAnsi="Verdana" w:cs="Times"/>
      <w:sz w:val="16"/>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67C"/>
    <w:pPr>
      <w:tabs>
        <w:tab w:val="center" w:pos="4680"/>
        <w:tab w:val="right" w:pos="9360"/>
      </w:tabs>
    </w:pPr>
  </w:style>
  <w:style w:type="character" w:customStyle="1" w:styleId="HeaderChar">
    <w:name w:val="Header Char"/>
    <w:basedOn w:val="DefaultParagraphFont"/>
    <w:link w:val="Header"/>
    <w:uiPriority w:val="99"/>
    <w:rsid w:val="00F2567C"/>
    <w:rPr>
      <w:rFonts w:ascii="Verdana" w:eastAsia="Times New Roman" w:hAnsi="Verdana" w:cs="Times"/>
      <w:sz w:val="16"/>
      <w:szCs w:val="24"/>
      <w:lang w:val="es-ES_tradnl"/>
    </w:rPr>
  </w:style>
  <w:style w:type="paragraph" w:styleId="Footer">
    <w:name w:val="footer"/>
    <w:basedOn w:val="Normal"/>
    <w:link w:val="FooterChar"/>
    <w:uiPriority w:val="99"/>
    <w:unhideWhenUsed/>
    <w:rsid w:val="00F2567C"/>
    <w:pPr>
      <w:tabs>
        <w:tab w:val="center" w:pos="4680"/>
        <w:tab w:val="right" w:pos="9360"/>
      </w:tabs>
    </w:pPr>
  </w:style>
  <w:style w:type="character" w:customStyle="1" w:styleId="FooterChar">
    <w:name w:val="Footer Char"/>
    <w:basedOn w:val="DefaultParagraphFont"/>
    <w:link w:val="Footer"/>
    <w:uiPriority w:val="99"/>
    <w:rsid w:val="00F2567C"/>
    <w:rPr>
      <w:rFonts w:ascii="Verdana" w:eastAsia="Times New Roman" w:hAnsi="Verdana" w:cs="Times"/>
      <w:sz w:val="16"/>
      <w:szCs w:val="24"/>
      <w:lang w:val="es-ES_tradnl"/>
    </w:rPr>
  </w:style>
  <w:style w:type="paragraph" w:styleId="ListParagraph">
    <w:name w:val="List Paragraph"/>
    <w:basedOn w:val="Normal"/>
    <w:uiPriority w:val="34"/>
    <w:qFormat/>
    <w:rsid w:val="00454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4</cp:revision>
  <dcterms:created xsi:type="dcterms:W3CDTF">2016-10-26T23:28:00Z</dcterms:created>
  <dcterms:modified xsi:type="dcterms:W3CDTF">2016-10-27T18:03:00Z</dcterms:modified>
</cp:coreProperties>
</file>