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2684" w14:textId="6BD1F797" w:rsidR="006E7F48" w:rsidRPr="00151E18" w:rsidRDefault="00C63158" w:rsidP="00C178BC">
      <w:pPr>
        <w:ind w:firstLine="720"/>
        <w:jc w:val="center"/>
        <w:rPr>
          <w:b/>
          <w:i/>
          <w:sz w:val="20"/>
          <w:szCs w:val="20"/>
          <w:u w:val="single"/>
          <w:lang w:val="es-CR"/>
        </w:rPr>
      </w:pPr>
      <w:r>
        <w:rPr>
          <w:b/>
          <w:iCs/>
          <w:sz w:val="20"/>
          <w:szCs w:val="20"/>
          <w:u w:val="single"/>
          <w:lang w:val="es-CR"/>
        </w:rPr>
        <w:t xml:space="preserve">Caso Radilla Pacheco </w:t>
      </w:r>
      <w:r w:rsidRPr="00C63158">
        <w:rPr>
          <w:b/>
          <w:i/>
          <w:sz w:val="20"/>
          <w:szCs w:val="20"/>
          <w:u w:val="single"/>
          <w:lang w:val="es-CR"/>
        </w:rPr>
        <w:t>Vs</w:t>
      </w:r>
      <w:r>
        <w:rPr>
          <w:b/>
          <w:iCs/>
          <w:sz w:val="20"/>
          <w:szCs w:val="20"/>
          <w:u w:val="single"/>
          <w:lang w:val="es-CR"/>
        </w:rPr>
        <w:t>. Estados Unidos Mexicanos</w:t>
      </w:r>
      <w:r w:rsidR="00EA0D60" w:rsidRPr="00C63158">
        <w:rPr>
          <w:b/>
          <w:iCs/>
          <w:sz w:val="20"/>
          <w:szCs w:val="20"/>
          <w:u w:val="single"/>
          <w:lang w:val="es-CR"/>
        </w:rPr>
        <w:t>:</w:t>
      </w:r>
      <w:r w:rsidR="00EA0D60" w:rsidRPr="00EA0D60">
        <w:rPr>
          <w:b/>
          <w:i/>
          <w:sz w:val="20"/>
          <w:szCs w:val="20"/>
          <w:u w:val="single"/>
          <w:lang w:val="es-CR"/>
        </w:rPr>
        <w:t xml:space="preserve"> </w:t>
      </w:r>
      <w:r w:rsidR="00EA0D60" w:rsidRPr="00EA0D60">
        <w:rPr>
          <w:b/>
          <w:sz w:val="20"/>
          <w:szCs w:val="20"/>
          <w:u w:val="single"/>
          <w:lang w:val="es-CR"/>
        </w:rPr>
        <w:t xml:space="preserve">reparaciones </w:t>
      </w:r>
      <w:r w:rsidR="00B46426">
        <w:rPr>
          <w:b/>
          <w:sz w:val="20"/>
          <w:szCs w:val="20"/>
          <w:u w:val="single"/>
          <w:lang w:val="es-CR"/>
        </w:rPr>
        <w:t>pendientes de cumplimiento</w:t>
      </w:r>
    </w:p>
    <w:p w14:paraId="60B46C0B" w14:textId="77777777" w:rsidR="00742038" w:rsidRPr="001A5AD3" w:rsidRDefault="00742038" w:rsidP="001A5AD3">
      <w:pPr>
        <w:spacing w:after="240"/>
        <w:rPr>
          <w:sz w:val="20"/>
          <w:szCs w:val="20"/>
          <w:lang w:val="es-CR"/>
        </w:rPr>
      </w:pPr>
    </w:p>
    <w:p w14:paraId="47B99EDD" w14:textId="7114511E" w:rsidR="00C63158" w:rsidRDefault="00C63158" w:rsidP="00C63158">
      <w:pPr>
        <w:pStyle w:val="Prrafodelista"/>
        <w:numPr>
          <w:ilvl w:val="0"/>
          <w:numId w:val="15"/>
        </w:numPr>
        <w:ind w:left="0" w:right="-518" w:firstLine="0"/>
        <w:jc w:val="both"/>
        <w:rPr>
          <w:sz w:val="20"/>
          <w:szCs w:val="20"/>
        </w:rPr>
      </w:pPr>
      <w:r w:rsidRPr="00C63158">
        <w:rPr>
          <w:sz w:val="20"/>
          <w:szCs w:val="20"/>
        </w:rPr>
        <w:t xml:space="preserve">Conducir eficazmente, con la debida diligencia y dentro de un plazo razonable la investigación y, en su caso, los procesos penales que tramiten en relación con la detención y posterior desaparición forzada del señor Rosendo Radilla Pacheco, para determinar las correspondientes responsabilidades penales y aplicar efectivamente las sanciones y consecuencias que la ley prevea, en los términos de los párrafos 329 a 334 de la Sentencia. </w:t>
      </w:r>
    </w:p>
    <w:p w14:paraId="0CEEA129" w14:textId="77777777" w:rsidR="00C63158" w:rsidRDefault="00C63158" w:rsidP="00C63158">
      <w:pPr>
        <w:pStyle w:val="Prrafodelista"/>
        <w:ind w:left="0" w:right="-518"/>
        <w:jc w:val="both"/>
        <w:rPr>
          <w:sz w:val="20"/>
          <w:szCs w:val="20"/>
        </w:rPr>
      </w:pPr>
    </w:p>
    <w:p w14:paraId="1E104A70" w14:textId="3378D014" w:rsidR="00B46426" w:rsidRDefault="00C63158" w:rsidP="00B46426">
      <w:pPr>
        <w:pStyle w:val="Prrafodelista"/>
        <w:numPr>
          <w:ilvl w:val="0"/>
          <w:numId w:val="15"/>
        </w:numPr>
        <w:ind w:left="0" w:right="-518" w:firstLine="0"/>
        <w:jc w:val="both"/>
        <w:rPr>
          <w:sz w:val="20"/>
          <w:szCs w:val="20"/>
        </w:rPr>
      </w:pPr>
      <w:r w:rsidRPr="00C63158">
        <w:rPr>
          <w:sz w:val="20"/>
          <w:szCs w:val="20"/>
        </w:rPr>
        <w:t>Continuar con la búsqueda efectiva y la localización inmediata del señor Rosendo Radilla Pacheco o, en su caso, de sus restos mortales, en los términos de los párrafos 335 a 336 de la Sentencia.</w:t>
      </w:r>
    </w:p>
    <w:p w14:paraId="72045CF6" w14:textId="77777777" w:rsidR="00B46426" w:rsidRPr="00B46426" w:rsidRDefault="00B46426" w:rsidP="00B46426">
      <w:pPr>
        <w:pStyle w:val="Prrafodelista"/>
        <w:rPr>
          <w:sz w:val="20"/>
          <w:szCs w:val="20"/>
        </w:rPr>
      </w:pPr>
    </w:p>
    <w:p w14:paraId="264388E4" w14:textId="3CD3638F" w:rsidR="00B46426" w:rsidRDefault="00C63158" w:rsidP="00B46426">
      <w:pPr>
        <w:pStyle w:val="Prrafodelista"/>
        <w:numPr>
          <w:ilvl w:val="0"/>
          <w:numId w:val="15"/>
        </w:numPr>
        <w:ind w:left="0" w:right="-518" w:firstLine="0"/>
        <w:jc w:val="both"/>
        <w:rPr>
          <w:sz w:val="20"/>
          <w:szCs w:val="20"/>
        </w:rPr>
      </w:pPr>
      <w:r w:rsidRPr="00B46426">
        <w:rPr>
          <w:sz w:val="20"/>
          <w:szCs w:val="20"/>
        </w:rPr>
        <w:t xml:space="preserve">Brindar atención psicológica y/o psiquiátrica gratuita y de forma inmediata, adecuada y efectiva, a través de sus instituciones públicas de salud especializadas, a las víctimas declaras en el Fallo que así lo soliciten, en los términos de los párrafos 357 a 358 del mismo. </w:t>
      </w:r>
    </w:p>
    <w:p w14:paraId="1278AEC5" w14:textId="77777777" w:rsidR="00B46426" w:rsidRPr="00B46426" w:rsidRDefault="00B46426" w:rsidP="00B46426">
      <w:pPr>
        <w:pStyle w:val="Prrafodelista"/>
        <w:rPr>
          <w:sz w:val="20"/>
          <w:szCs w:val="20"/>
        </w:rPr>
      </w:pPr>
    </w:p>
    <w:p w14:paraId="711A2134" w14:textId="024A30A1" w:rsidR="00B46426" w:rsidRPr="00B46426" w:rsidRDefault="00B46426" w:rsidP="00B46426">
      <w:pPr>
        <w:ind w:right="-518"/>
        <w:jc w:val="both"/>
        <w:rPr>
          <w:b/>
          <w:bCs/>
          <w:sz w:val="20"/>
          <w:szCs w:val="20"/>
        </w:rPr>
      </w:pPr>
      <w:r w:rsidRPr="00B46426">
        <w:rPr>
          <w:b/>
          <w:bCs/>
          <w:sz w:val="20"/>
          <w:szCs w:val="20"/>
          <w:lang w:val="es-ES"/>
        </w:rPr>
        <w:t>Cumplimiento Parcial</w:t>
      </w:r>
    </w:p>
    <w:p w14:paraId="07E758E4" w14:textId="77777777" w:rsidR="00B46426" w:rsidRPr="00B46426" w:rsidRDefault="00B46426" w:rsidP="00B46426">
      <w:pPr>
        <w:pStyle w:val="Prrafodelista"/>
        <w:rPr>
          <w:sz w:val="20"/>
          <w:szCs w:val="20"/>
        </w:rPr>
      </w:pPr>
    </w:p>
    <w:p w14:paraId="3C2C93E5" w14:textId="149F4C0E" w:rsidR="00B46426" w:rsidRPr="00B46426" w:rsidRDefault="00B46426" w:rsidP="00B46426">
      <w:pPr>
        <w:pStyle w:val="Prrafodelista"/>
        <w:numPr>
          <w:ilvl w:val="0"/>
          <w:numId w:val="15"/>
        </w:numPr>
        <w:ind w:left="0" w:right="-518" w:firstLine="0"/>
        <w:jc w:val="both"/>
        <w:rPr>
          <w:sz w:val="20"/>
          <w:szCs w:val="20"/>
        </w:rPr>
      </w:pPr>
      <w:r w:rsidRPr="00B46426">
        <w:rPr>
          <w:sz w:val="20"/>
          <w:szCs w:val="20"/>
        </w:rPr>
        <w:t>Adoptar las reformas legislativas pertinentes para compatibilizar el artículo 57 del Código de Justicia Militar con los estándares internacionales en la materia y de la Convención Americana sobre Derechos Humanos, en los términos de los párrafos 337 a 342 de la Sentencia.</w:t>
      </w:r>
    </w:p>
    <w:p w14:paraId="501891F7" w14:textId="77777777" w:rsidR="00B46426" w:rsidRDefault="00B46426" w:rsidP="00C178BC">
      <w:pPr>
        <w:ind w:right="-518"/>
        <w:jc w:val="both"/>
        <w:rPr>
          <w:sz w:val="20"/>
          <w:szCs w:val="20"/>
          <w:lang w:val="es-ES"/>
        </w:rPr>
      </w:pPr>
    </w:p>
    <w:p w14:paraId="0CECBBCB" w14:textId="77777777" w:rsidR="009E6386" w:rsidRPr="00C63158" w:rsidRDefault="009E6386" w:rsidP="009E6386">
      <w:pPr>
        <w:ind w:right="-518"/>
        <w:jc w:val="both"/>
        <w:rPr>
          <w:sz w:val="20"/>
          <w:szCs w:val="20"/>
        </w:rPr>
      </w:pPr>
      <w:r w:rsidRPr="00C63158">
        <w:rPr>
          <w:sz w:val="20"/>
          <w:szCs w:val="20"/>
        </w:rPr>
        <w:t>En los Considerandos 22 y 23 de la resolución de la Corte de 17 de abril de 2015 se explica lo que continúa pendiente de cumplimiento respecto a la presente medida de reparación:</w:t>
      </w:r>
    </w:p>
    <w:p w14:paraId="70ED0620" w14:textId="77777777" w:rsidR="009E6386" w:rsidRPr="00C63158" w:rsidRDefault="009E6386" w:rsidP="009E6386">
      <w:pPr>
        <w:ind w:right="-518"/>
        <w:jc w:val="both"/>
        <w:rPr>
          <w:sz w:val="20"/>
          <w:szCs w:val="20"/>
        </w:rPr>
      </w:pPr>
    </w:p>
    <w:p w14:paraId="50110058" w14:textId="77777777" w:rsidR="009E6386" w:rsidRDefault="009E6386" w:rsidP="009E6386">
      <w:pPr>
        <w:tabs>
          <w:tab w:val="left" w:pos="720"/>
        </w:tabs>
        <w:ind w:left="720" w:right="680"/>
        <w:jc w:val="both"/>
        <w:rPr>
          <w:sz w:val="18"/>
          <w:szCs w:val="18"/>
        </w:rPr>
      </w:pPr>
      <w:r w:rsidRPr="00B46426">
        <w:rPr>
          <w:sz w:val="18"/>
          <w:szCs w:val="18"/>
        </w:rPr>
        <w:t xml:space="preserve">22. Debido a que el artículo 57.II.a) del Código de Justicia Militar reformado aún autoriza la intervención del fuero militar en los delitos en que el imputado y la víctima sean militares y en los delitos en que el imputado sea militar y no sea un civil el sujeto pasivo del delito o titular del bien jurídico, la Corte estima que la actual legislación continúa sin adaptarse parcialmente (supra Considerando 17 y 20) a los siguientes estándares jurisprudenciales: </w:t>
      </w:r>
    </w:p>
    <w:p w14:paraId="37472096" w14:textId="77777777" w:rsidR="009E6386" w:rsidRDefault="009E6386" w:rsidP="009E6386">
      <w:pPr>
        <w:tabs>
          <w:tab w:val="left" w:pos="720"/>
        </w:tabs>
        <w:ind w:left="1440" w:right="680"/>
        <w:jc w:val="both"/>
        <w:rPr>
          <w:sz w:val="18"/>
          <w:szCs w:val="18"/>
        </w:rPr>
      </w:pPr>
      <w:r w:rsidRPr="00B46426">
        <w:rPr>
          <w:sz w:val="18"/>
          <w:szCs w:val="18"/>
        </w:rPr>
        <w:t xml:space="preserve">a) la jurisdicción militar no es el fuero competente para investigar y, en su caso, juzgar y sancionar a los autores de violaciones de derechos humanos, aun cuando el sujeto activo y pasivo sean militares, y </w:t>
      </w:r>
    </w:p>
    <w:p w14:paraId="3EB9F48E" w14:textId="77777777" w:rsidR="009E6386" w:rsidRDefault="009E6386" w:rsidP="009E6386">
      <w:pPr>
        <w:tabs>
          <w:tab w:val="left" w:pos="720"/>
        </w:tabs>
        <w:ind w:left="1440" w:right="680"/>
        <w:jc w:val="both"/>
        <w:rPr>
          <w:sz w:val="18"/>
          <w:szCs w:val="18"/>
        </w:rPr>
      </w:pPr>
      <w:r w:rsidRPr="00B46426">
        <w:rPr>
          <w:sz w:val="18"/>
          <w:szCs w:val="18"/>
        </w:rPr>
        <w:t xml:space="preserve">b) en el fuero militar sólo se puede juzgar la comisión de delitos o faltas (cometidos por militares activos) que por su propia naturaleza atenten contra bienes jurídicos propios del orden militar. </w:t>
      </w:r>
    </w:p>
    <w:p w14:paraId="7EE7D229" w14:textId="77777777" w:rsidR="009E6386" w:rsidRPr="00B46426" w:rsidRDefault="009E6386" w:rsidP="009E6386">
      <w:pPr>
        <w:tabs>
          <w:tab w:val="left" w:pos="720"/>
        </w:tabs>
        <w:ind w:left="720" w:right="680"/>
        <w:jc w:val="both"/>
        <w:rPr>
          <w:sz w:val="18"/>
          <w:szCs w:val="18"/>
        </w:rPr>
      </w:pPr>
      <w:r w:rsidRPr="00B46426">
        <w:rPr>
          <w:sz w:val="18"/>
          <w:szCs w:val="18"/>
        </w:rPr>
        <w:t>23. A partir de las consideraciones expuestas, la Corte concluye que la reforma del artículo 57 del Código de Justicia Militar constituye una importante armonización del derecho interno mexicano con los estándares convencionales e internacionales en materia de jurisdicción penal militar, por lo que el Estado ha dado cumplimiento parcial a la reparación ordenada en el punto dispositivo décimo de la Sentencia en el caso Radilla Pacheco, en el punto dispositivo décimo tercero de la Sentencia del caso Fernández Ortega y otros, y en el punto dispositivo décimo segundo de la Sentencia del caso Rosendo Cantú.</w:t>
      </w:r>
    </w:p>
    <w:p w14:paraId="496120F5" w14:textId="77777777" w:rsidR="000115F8" w:rsidRPr="00C4747D" w:rsidRDefault="000115F8" w:rsidP="00C178BC">
      <w:pPr>
        <w:tabs>
          <w:tab w:val="left" w:pos="720"/>
        </w:tabs>
        <w:ind w:right="-90"/>
        <w:jc w:val="both"/>
        <w:rPr>
          <w:sz w:val="20"/>
          <w:szCs w:val="20"/>
        </w:rPr>
      </w:pPr>
    </w:p>
    <w:sectPr w:rsidR="000115F8" w:rsidRPr="00C4747D" w:rsidSect="004D7F8B">
      <w:headerReference w:type="default" r:id="rId7"/>
      <w:footerReference w:type="default" r:id="rId8"/>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706C" w14:textId="77777777" w:rsidR="006D6BA8" w:rsidRDefault="006D6BA8" w:rsidP="009F7EF4">
      <w:r>
        <w:separator/>
      </w:r>
    </w:p>
  </w:endnote>
  <w:endnote w:type="continuationSeparator" w:id="0">
    <w:p w14:paraId="3AB32925" w14:textId="77777777" w:rsidR="006D6BA8" w:rsidRDefault="006D6BA8"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6DD1"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603A8E3"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F3582" w14:textId="77777777" w:rsidR="006D6BA8" w:rsidRDefault="006D6BA8" w:rsidP="009F7EF4">
      <w:r>
        <w:separator/>
      </w:r>
    </w:p>
  </w:footnote>
  <w:footnote w:type="continuationSeparator" w:id="0">
    <w:p w14:paraId="69695F94" w14:textId="77777777" w:rsidR="006D6BA8" w:rsidRDefault="006D6BA8"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7318BE61"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F330B4">
          <w:rPr>
            <w:noProof/>
            <w:sz w:val="20"/>
            <w:szCs w:val="20"/>
          </w:rPr>
          <w:t>1</w:t>
        </w:r>
        <w:r w:rsidRPr="00675FE7">
          <w:rPr>
            <w:noProof/>
            <w:sz w:val="20"/>
            <w:szCs w:val="20"/>
          </w:rPr>
          <w:fldChar w:fldCharType="end"/>
        </w:r>
      </w:p>
    </w:sdtContent>
  </w:sdt>
  <w:p w14:paraId="174C94B0"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E96"/>
    <w:multiLevelType w:val="hybridMultilevel"/>
    <w:tmpl w:val="916445C4"/>
    <w:lvl w:ilvl="0" w:tplc="04090019">
      <w:start w:val="1"/>
      <w:numFmt w:val="lowerLetter"/>
      <w:lvlText w:val="%1)"/>
      <w:lvlJc w:val="left"/>
      <w:pPr>
        <w:tabs>
          <w:tab w:val="num" w:pos="1440"/>
        </w:tabs>
        <w:ind w:left="1440" w:hanging="360"/>
      </w:pPr>
      <w:rPr>
        <w:rFonts w:cs="Times New Roman" w:hint="default"/>
        <w:b w:val="0"/>
        <w:i w:val="0"/>
        <w:sz w:val="2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F9E6654"/>
    <w:multiLevelType w:val="hybridMultilevel"/>
    <w:tmpl w:val="F85C8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018F"/>
    <w:multiLevelType w:val="hybridMultilevel"/>
    <w:tmpl w:val="DE1A0778"/>
    <w:lvl w:ilvl="0" w:tplc="04090019">
      <w:start w:val="1"/>
      <w:numFmt w:val="lowerLetter"/>
      <w:lvlText w:val="%1)"/>
      <w:lvlJc w:val="left"/>
      <w:pPr>
        <w:tabs>
          <w:tab w:val="num" w:pos="1080"/>
        </w:tabs>
        <w:ind w:left="1080" w:hanging="360"/>
      </w:pPr>
      <w:rPr>
        <w:rFonts w:cs="Times New Roman" w:hint="default"/>
        <w:b w:val="0"/>
        <w:i w:val="0"/>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2E072EE"/>
    <w:multiLevelType w:val="hybridMultilevel"/>
    <w:tmpl w:val="22102EBC"/>
    <w:lvl w:ilvl="0" w:tplc="7CB6F12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C703A"/>
    <w:multiLevelType w:val="hybridMultilevel"/>
    <w:tmpl w:val="876006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3565870"/>
    <w:multiLevelType w:val="hybridMultilevel"/>
    <w:tmpl w:val="22102E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6D67852"/>
    <w:multiLevelType w:val="hybridMultilevel"/>
    <w:tmpl w:val="B36E29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E672BEB"/>
    <w:multiLevelType w:val="hybridMultilevel"/>
    <w:tmpl w:val="871006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13"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14"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194590">
    <w:abstractNumId w:val="15"/>
  </w:num>
  <w:num w:numId="2" w16cid:durableId="637875302">
    <w:abstractNumId w:val="6"/>
  </w:num>
  <w:num w:numId="3" w16cid:durableId="783424331">
    <w:abstractNumId w:val="13"/>
  </w:num>
  <w:num w:numId="4" w16cid:durableId="302271483">
    <w:abstractNumId w:val="1"/>
  </w:num>
  <w:num w:numId="5" w16cid:durableId="711001639">
    <w:abstractNumId w:val="3"/>
  </w:num>
  <w:num w:numId="6" w16cid:durableId="1438482307">
    <w:abstractNumId w:val="9"/>
  </w:num>
  <w:num w:numId="7" w16cid:durableId="883519881">
    <w:abstractNumId w:val="12"/>
  </w:num>
  <w:num w:numId="8" w16cid:durableId="1683969853">
    <w:abstractNumId w:val="7"/>
  </w:num>
  <w:num w:numId="9" w16cid:durableId="4551512">
    <w:abstractNumId w:val="10"/>
  </w:num>
  <w:num w:numId="10" w16cid:durableId="313918940">
    <w:abstractNumId w:val="11"/>
  </w:num>
  <w:num w:numId="11" w16cid:durableId="1865485580">
    <w:abstractNumId w:val="14"/>
  </w:num>
  <w:num w:numId="12" w16cid:durableId="2033264180">
    <w:abstractNumId w:val="2"/>
  </w:num>
  <w:num w:numId="13" w16cid:durableId="1646425160">
    <w:abstractNumId w:val="4"/>
  </w:num>
  <w:num w:numId="14" w16cid:durableId="496269959">
    <w:abstractNumId w:val="0"/>
  </w:num>
  <w:num w:numId="15" w16cid:durableId="1367562073">
    <w:abstractNumId w:val="5"/>
  </w:num>
  <w:num w:numId="16" w16cid:durableId="147670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15F8"/>
    <w:rsid w:val="000930F6"/>
    <w:rsid w:val="00101CC6"/>
    <w:rsid w:val="00111252"/>
    <w:rsid w:val="001426AA"/>
    <w:rsid w:val="00151E18"/>
    <w:rsid w:val="001A5AD3"/>
    <w:rsid w:val="002604F9"/>
    <w:rsid w:val="00296F77"/>
    <w:rsid w:val="002B3295"/>
    <w:rsid w:val="002B7E8D"/>
    <w:rsid w:val="002E2002"/>
    <w:rsid w:val="003A7E5E"/>
    <w:rsid w:val="003C561A"/>
    <w:rsid w:val="00474D04"/>
    <w:rsid w:val="00476F6E"/>
    <w:rsid w:val="004D7F8B"/>
    <w:rsid w:val="005C68A4"/>
    <w:rsid w:val="005D1A85"/>
    <w:rsid w:val="00601077"/>
    <w:rsid w:val="006065EC"/>
    <w:rsid w:val="00617B3E"/>
    <w:rsid w:val="006663F3"/>
    <w:rsid w:val="006C38A6"/>
    <w:rsid w:val="006D6BA8"/>
    <w:rsid w:val="006F2690"/>
    <w:rsid w:val="00742038"/>
    <w:rsid w:val="00774B82"/>
    <w:rsid w:val="00792726"/>
    <w:rsid w:val="00926FFB"/>
    <w:rsid w:val="00953993"/>
    <w:rsid w:val="009832C0"/>
    <w:rsid w:val="009B01F7"/>
    <w:rsid w:val="009D22BE"/>
    <w:rsid w:val="009E6386"/>
    <w:rsid w:val="009F7EF4"/>
    <w:rsid w:val="00A07758"/>
    <w:rsid w:val="00AC4EB2"/>
    <w:rsid w:val="00AE0035"/>
    <w:rsid w:val="00B11B9B"/>
    <w:rsid w:val="00B32A37"/>
    <w:rsid w:val="00B353D1"/>
    <w:rsid w:val="00B375FF"/>
    <w:rsid w:val="00B46426"/>
    <w:rsid w:val="00BA6BA9"/>
    <w:rsid w:val="00BC5824"/>
    <w:rsid w:val="00C178BC"/>
    <w:rsid w:val="00C4747D"/>
    <w:rsid w:val="00C63158"/>
    <w:rsid w:val="00C77C0C"/>
    <w:rsid w:val="00C807CF"/>
    <w:rsid w:val="00D3440D"/>
    <w:rsid w:val="00E36FF3"/>
    <w:rsid w:val="00E42392"/>
    <w:rsid w:val="00E85D9E"/>
    <w:rsid w:val="00EA0D60"/>
    <w:rsid w:val="00F330B4"/>
    <w:rsid w:val="00F50093"/>
    <w:rsid w:val="00F95487"/>
    <w:rsid w:val="00FD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AD3B"/>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Textonotaalfinal">
    <w:name w:val="endnote text"/>
    <w:basedOn w:val="Normal"/>
    <w:link w:val="TextonotaalfinalCar"/>
    <w:uiPriority w:val="99"/>
    <w:semiHidden/>
    <w:unhideWhenUsed/>
    <w:rsid w:val="00742038"/>
    <w:rPr>
      <w:rFonts w:ascii="Calibri" w:eastAsia="Calibri" w:hAnsi="Calibri" w:cs="Times New Roman"/>
      <w:sz w:val="20"/>
      <w:szCs w:val="20"/>
      <w:lang w:val="es-CR"/>
    </w:rPr>
  </w:style>
  <w:style w:type="character" w:customStyle="1" w:styleId="TextonotaalfinalCar">
    <w:name w:val="Texto nota al final Car"/>
    <w:basedOn w:val="Fuentedeprrafopredeter"/>
    <w:link w:val="Textonotaalfinal"/>
    <w:uiPriority w:val="99"/>
    <w:semiHidden/>
    <w:rsid w:val="00742038"/>
    <w:rPr>
      <w:rFonts w:ascii="Calibri" w:eastAsia="Calibri" w:hAnsi="Calibri" w:cs="Times New Roman"/>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455</Words>
  <Characters>2507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19</cp:revision>
  <cp:lastPrinted>2021-06-30T18:39:00Z</cp:lastPrinted>
  <dcterms:created xsi:type="dcterms:W3CDTF">2021-06-25T16:30:00Z</dcterms:created>
  <dcterms:modified xsi:type="dcterms:W3CDTF">2022-07-15T20:18:00Z</dcterms:modified>
</cp:coreProperties>
</file>