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065B" w14:textId="77777777" w:rsidR="00C57210" w:rsidRPr="00BB3663" w:rsidRDefault="006E7B54" w:rsidP="00C57210">
      <w:pPr>
        <w:jc w:val="center"/>
        <w:rPr>
          <w:b/>
          <w:sz w:val="20"/>
          <w:szCs w:val="20"/>
          <w:u w:val="single"/>
        </w:rPr>
      </w:pPr>
      <w:r>
        <w:rPr>
          <w:b/>
          <w:sz w:val="20"/>
          <w:szCs w:val="20"/>
          <w:u w:val="single"/>
        </w:rPr>
        <w:t>Caso Rosendo Cantú y o</w:t>
      </w:r>
      <w:r w:rsidR="00C57210" w:rsidRPr="00BB3663">
        <w:rPr>
          <w:b/>
          <w:sz w:val="20"/>
          <w:szCs w:val="20"/>
          <w:u w:val="single"/>
        </w:rPr>
        <w:t xml:space="preserve">tra </w:t>
      </w:r>
      <w:r w:rsidR="00C57210" w:rsidRPr="006E7B54">
        <w:rPr>
          <w:b/>
          <w:i/>
          <w:sz w:val="20"/>
          <w:szCs w:val="20"/>
          <w:u w:val="single"/>
        </w:rPr>
        <w:t>Vs.</w:t>
      </w:r>
      <w:r w:rsidR="00C57210" w:rsidRPr="00BB3663">
        <w:rPr>
          <w:b/>
          <w:sz w:val="20"/>
          <w:szCs w:val="20"/>
          <w:u w:val="single"/>
        </w:rPr>
        <w:t xml:space="preserve"> México: reparaciones </w:t>
      </w:r>
      <w:r w:rsidR="00C57210">
        <w:rPr>
          <w:b/>
          <w:sz w:val="20"/>
          <w:szCs w:val="20"/>
          <w:u w:val="single"/>
        </w:rPr>
        <w:t>pendientes de cumplimiento</w:t>
      </w:r>
    </w:p>
    <w:p w14:paraId="6AF4C6C5" w14:textId="77777777" w:rsidR="00C57210" w:rsidRDefault="00C57210" w:rsidP="00C57210">
      <w:pPr>
        <w:jc w:val="both"/>
        <w:rPr>
          <w:color w:val="000000" w:themeColor="text1"/>
          <w:sz w:val="20"/>
          <w:szCs w:val="20"/>
          <w:lang w:val="es-ES"/>
        </w:rPr>
      </w:pPr>
    </w:p>
    <w:p w14:paraId="09EAB7DD" w14:textId="77777777" w:rsidR="00931FCC" w:rsidRPr="00C57210" w:rsidRDefault="00931FCC" w:rsidP="00C57210">
      <w:pPr>
        <w:jc w:val="both"/>
        <w:rPr>
          <w:color w:val="000000" w:themeColor="text1"/>
          <w:sz w:val="20"/>
          <w:szCs w:val="20"/>
          <w:lang w:val="es-ES"/>
        </w:rPr>
      </w:pPr>
    </w:p>
    <w:p w14:paraId="5CFF2CE0" w14:textId="7ADAE897" w:rsidR="00CB0E1A" w:rsidRPr="00BA1954" w:rsidRDefault="00CB0E1A" w:rsidP="00BA1954">
      <w:pPr>
        <w:pStyle w:val="Prrafodelista"/>
        <w:numPr>
          <w:ilvl w:val="0"/>
          <w:numId w:val="2"/>
        </w:numPr>
        <w:ind w:left="0" w:firstLine="0"/>
        <w:jc w:val="both"/>
        <w:rPr>
          <w:color w:val="000000" w:themeColor="text1"/>
          <w:sz w:val="20"/>
          <w:szCs w:val="20"/>
          <w:lang w:val="es-ES"/>
        </w:rPr>
      </w:pPr>
      <w:r w:rsidRPr="00CB0E1A">
        <w:rPr>
          <w:color w:val="000000" w:themeColor="text1"/>
          <w:sz w:val="20"/>
          <w:szCs w:val="20"/>
          <w:lang w:val="es-ES"/>
        </w:rPr>
        <w:t>E</w:t>
      </w:r>
      <w:r w:rsidR="00C57210" w:rsidRPr="00CB0E1A">
        <w:rPr>
          <w:color w:val="000000" w:themeColor="text1"/>
          <w:sz w:val="20"/>
          <w:szCs w:val="20"/>
          <w:lang w:val="es-ES"/>
        </w:rPr>
        <w:t>xaminar el hecho y la conducta del agente del Ministerio Público que dificultaron la recepción de la denuncia presentada por la señora Rosendo Cantú, así como del médico que no dio el aviso legal correspondiente a las autoridades, de conformidad con lo establecido en el párrafo 214 de la</w:t>
      </w:r>
      <w:r w:rsidR="00BA1954">
        <w:rPr>
          <w:color w:val="000000" w:themeColor="text1"/>
          <w:sz w:val="20"/>
          <w:szCs w:val="20"/>
          <w:lang w:val="es-ES"/>
        </w:rPr>
        <w:t xml:space="preserve"> </w:t>
      </w:r>
      <w:r w:rsidR="00C57210" w:rsidRPr="00BA1954">
        <w:rPr>
          <w:color w:val="000000" w:themeColor="text1"/>
          <w:sz w:val="20"/>
          <w:szCs w:val="20"/>
          <w:lang w:val="es-ES"/>
        </w:rPr>
        <w:t>Sentencia.</w:t>
      </w:r>
    </w:p>
    <w:p w14:paraId="446968DD" w14:textId="77777777" w:rsidR="00CB0E1A" w:rsidRPr="00CB0E1A" w:rsidRDefault="00CB0E1A" w:rsidP="00931FCC">
      <w:pPr>
        <w:pStyle w:val="Prrafodelista"/>
        <w:ind w:left="0"/>
        <w:jc w:val="both"/>
        <w:rPr>
          <w:color w:val="000000" w:themeColor="text1"/>
          <w:sz w:val="20"/>
          <w:szCs w:val="20"/>
          <w:lang w:val="es-ES"/>
        </w:rPr>
      </w:pPr>
    </w:p>
    <w:p w14:paraId="1AE8B7CF" w14:textId="3B19EC5B" w:rsidR="00CB0E1A" w:rsidRDefault="00CB0E1A" w:rsidP="00931FCC">
      <w:pPr>
        <w:pStyle w:val="Prrafodelista"/>
        <w:numPr>
          <w:ilvl w:val="0"/>
          <w:numId w:val="2"/>
        </w:numPr>
        <w:ind w:left="0" w:firstLine="0"/>
        <w:jc w:val="both"/>
        <w:rPr>
          <w:color w:val="000000" w:themeColor="text1"/>
          <w:sz w:val="20"/>
          <w:szCs w:val="20"/>
          <w:lang w:val="es-ES"/>
        </w:rPr>
      </w:pPr>
      <w:r w:rsidRPr="00CB0E1A">
        <w:rPr>
          <w:color w:val="000000" w:themeColor="text1"/>
          <w:sz w:val="20"/>
          <w:szCs w:val="20"/>
          <w:lang w:val="es-ES"/>
        </w:rPr>
        <w:t>C</w:t>
      </w:r>
      <w:r w:rsidR="00C57210" w:rsidRPr="00CB0E1A">
        <w:rPr>
          <w:color w:val="000000" w:themeColor="text1"/>
          <w:sz w:val="20"/>
          <w:szCs w:val="20"/>
          <w:lang w:val="es-ES"/>
        </w:rPr>
        <w:t>ontinuar con el proceso de estandarización de un protocolo de actuación, para el ámbito federal y del estado de Guerrero, respecto de la atención e investigación de violaciones sexuales considerando, en lo pertinente, los parámetros establecidos en el Protocolo de Estambul y en las Directrices de la Organización Mundial de la Salud, de conformidad con lo establecido en el párrafo 242 de la Sentencia.</w:t>
      </w:r>
    </w:p>
    <w:p w14:paraId="6CE04BA6" w14:textId="77777777" w:rsidR="00CB0E1A" w:rsidRPr="00CB0E1A" w:rsidRDefault="00CB0E1A" w:rsidP="00931FCC">
      <w:pPr>
        <w:pStyle w:val="Prrafodelista"/>
        <w:ind w:left="0"/>
        <w:jc w:val="both"/>
        <w:rPr>
          <w:color w:val="000000" w:themeColor="text1"/>
          <w:sz w:val="20"/>
          <w:szCs w:val="20"/>
          <w:lang w:val="es-ES"/>
        </w:rPr>
      </w:pPr>
    </w:p>
    <w:p w14:paraId="73C31C22" w14:textId="6C8D3081" w:rsidR="00CB0E1A" w:rsidRDefault="00CB0E1A" w:rsidP="00931FCC">
      <w:pPr>
        <w:pStyle w:val="Prrafodelista"/>
        <w:numPr>
          <w:ilvl w:val="0"/>
          <w:numId w:val="2"/>
        </w:numPr>
        <w:ind w:left="0" w:firstLine="0"/>
        <w:jc w:val="both"/>
        <w:rPr>
          <w:color w:val="000000" w:themeColor="text1"/>
          <w:sz w:val="20"/>
          <w:szCs w:val="20"/>
          <w:lang w:val="es-ES"/>
        </w:rPr>
      </w:pPr>
      <w:r w:rsidRPr="00CB0E1A">
        <w:rPr>
          <w:color w:val="000000" w:themeColor="text1"/>
          <w:sz w:val="20"/>
          <w:szCs w:val="20"/>
          <w:lang w:val="es-ES"/>
        </w:rPr>
        <w:t>C</w:t>
      </w:r>
      <w:r w:rsidR="00C57210" w:rsidRPr="00CB0E1A">
        <w:rPr>
          <w:color w:val="000000" w:themeColor="text1"/>
          <w:sz w:val="20"/>
          <w:szCs w:val="20"/>
          <w:lang w:val="es-ES"/>
        </w:rPr>
        <w:t>ontinuar implementando programas y cursos permanentes de capacitación sobre investigación diligente en casos de violencia sexual contra las mujeres, que incluyan una perspectiva de género y etnicidad, los cuales deberán impartirse a los funcionarios federales y del estado de Guerrero, de conformidad con lo establecido los párrafos 245 y 246 de la Sentencia.</w:t>
      </w:r>
    </w:p>
    <w:p w14:paraId="1F1B35DF" w14:textId="77777777" w:rsidR="00CB0E1A" w:rsidRPr="00CB0E1A" w:rsidRDefault="00CB0E1A" w:rsidP="00931FCC">
      <w:pPr>
        <w:pStyle w:val="Prrafodelista"/>
        <w:ind w:left="0"/>
        <w:jc w:val="both"/>
        <w:rPr>
          <w:color w:val="000000" w:themeColor="text1"/>
          <w:sz w:val="20"/>
          <w:szCs w:val="20"/>
          <w:lang w:val="es-ES"/>
        </w:rPr>
      </w:pPr>
    </w:p>
    <w:p w14:paraId="71EE66AE" w14:textId="7F8AAFB5" w:rsidR="00CB0E1A" w:rsidRDefault="00CB0E1A" w:rsidP="00931FCC">
      <w:pPr>
        <w:pStyle w:val="Prrafodelista"/>
        <w:numPr>
          <w:ilvl w:val="0"/>
          <w:numId w:val="2"/>
        </w:numPr>
        <w:ind w:left="0" w:firstLine="0"/>
        <w:jc w:val="both"/>
        <w:rPr>
          <w:color w:val="000000" w:themeColor="text1"/>
          <w:sz w:val="20"/>
          <w:szCs w:val="20"/>
          <w:lang w:val="es-ES"/>
        </w:rPr>
      </w:pPr>
      <w:r w:rsidRPr="00CB0E1A">
        <w:rPr>
          <w:color w:val="000000" w:themeColor="text1"/>
          <w:sz w:val="20"/>
          <w:szCs w:val="20"/>
          <w:lang w:val="es-ES"/>
        </w:rPr>
        <w:t>C</w:t>
      </w:r>
      <w:r w:rsidR="00C57210" w:rsidRPr="00CB0E1A">
        <w:rPr>
          <w:color w:val="000000" w:themeColor="text1"/>
          <w:sz w:val="20"/>
          <w:szCs w:val="20"/>
          <w:lang w:val="es-ES"/>
        </w:rPr>
        <w:t>ontinuar con las acciones desarrolladas en materia de capacitación en derechos humanos de integrantes de las Fuerzas Armadas, y deberá implementar, en un plazo razonable, un programa o curso permanente y obligatorio de capacitación y formación en derechos humanos, dirigido a los miembros de las Fuerzas Armadas, de conformidad con lo establecido en el párrafo 249 de la Sentencia.</w:t>
      </w:r>
    </w:p>
    <w:p w14:paraId="61E603AA" w14:textId="77777777" w:rsidR="00CB0E1A" w:rsidRPr="00CB0E1A" w:rsidRDefault="00CB0E1A" w:rsidP="00931FCC">
      <w:pPr>
        <w:pStyle w:val="Prrafodelista"/>
        <w:ind w:left="0"/>
        <w:jc w:val="both"/>
        <w:rPr>
          <w:color w:val="000000" w:themeColor="text1"/>
          <w:sz w:val="20"/>
          <w:szCs w:val="20"/>
          <w:lang w:val="es-ES"/>
        </w:rPr>
      </w:pPr>
    </w:p>
    <w:p w14:paraId="502784AC" w14:textId="552486AE" w:rsidR="00CB0E1A" w:rsidRDefault="00CB0E1A" w:rsidP="00931FCC">
      <w:pPr>
        <w:pStyle w:val="Prrafodelista"/>
        <w:numPr>
          <w:ilvl w:val="0"/>
          <w:numId w:val="2"/>
        </w:numPr>
        <w:ind w:left="0" w:firstLine="0"/>
        <w:jc w:val="both"/>
        <w:rPr>
          <w:color w:val="000000" w:themeColor="text1"/>
          <w:sz w:val="20"/>
          <w:szCs w:val="20"/>
          <w:lang w:val="es-ES"/>
        </w:rPr>
      </w:pPr>
      <w:r w:rsidRPr="00CB0E1A">
        <w:rPr>
          <w:color w:val="000000" w:themeColor="text1"/>
          <w:sz w:val="20"/>
          <w:szCs w:val="20"/>
          <w:lang w:val="es-ES"/>
        </w:rPr>
        <w:t>C</w:t>
      </w:r>
      <w:r w:rsidR="00C57210" w:rsidRPr="00CB0E1A">
        <w:rPr>
          <w:color w:val="000000" w:themeColor="text1"/>
          <w:sz w:val="20"/>
          <w:szCs w:val="20"/>
          <w:lang w:val="es-ES"/>
        </w:rPr>
        <w:t>ontinuar brindando servicios de tratamiento a mujeres víctimas de violencia sexual por medio del centro de salud de Caxitepec, el cual deberá ser fortalecido a través de la provisión de recursos materiales y personales, de conformidad con lo establecido en el párrafo 260 de la Sentencia.</w:t>
      </w:r>
    </w:p>
    <w:p w14:paraId="17199440" w14:textId="77777777" w:rsidR="00CB0E1A" w:rsidRPr="00CB0E1A" w:rsidRDefault="00CB0E1A" w:rsidP="00931FCC">
      <w:pPr>
        <w:pStyle w:val="Prrafodelista"/>
        <w:ind w:left="0"/>
        <w:jc w:val="both"/>
        <w:rPr>
          <w:color w:val="000000" w:themeColor="text1"/>
          <w:sz w:val="20"/>
          <w:szCs w:val="20"/>
          <w:lang w:val="es-ES"/>
        </w:rPr>
      </w:pPr>
    </w:p>
    <w:p w14:paraId="4B5925F4" w14:textId="60EF53E6" w:rsidR="00CB0E1A" w:rsidRDefault="00CB0E1A" w:rsidP="00931FCC">
      <w:pPr>
        <w:pStyle w:val="Prrafodelista"/>
        <w:numPr>
          <w:ilvl w:val="0"/>
          <w:numId w:val="2"/>
        </w:numPr>
        <w:ind w:left="0" w:firstLine="0"/>
        <w:jc w:val="both"/>
        <w:rPr>
          <w:color w:val="000000" w:themeColor="text1"/>
          <w:sz w:val="20"/>
          <w:szCs w:val="20"/>
          <w:lang w:val="es-ES"/>
        </w:rPr>
      </w:pPr>
      <w:r w:rsidRPr="00CB0E1A">
        <w:rPr>
          <w:color w:val="000000" w:themeColor="text1"/>
          <w:sz w:val="20"/>
          <w:szCs w:val="20"/>
          <w:lang w:val="es-ES"/>
        </w:rPr>
        <w:t>A</w:t>
      </w:r>
      <w:r w:rsidR="00C57210" w:rsidRPr="00CB0E1A">
        <w:rPr>
          <w:color w:val="000000" w:themeColor="text1"/>
          <w:sz w:val="20"/>
          <w:szCs w:val="20"/>
          <w:lang w:val="es-ES"/>
        </w:rPr>
        <w:t>segurar que los servicios de atención a las mujeres víctimas de violencia sexual sean proporcionados por las instituciones indicadas por México, entre otras, el Ministerio Público en Ayutla de los Libres, a través de la provisión de los recursos materiales y personales, cuyas actividades deberán ser fortalecidas mediante acciones de capacitación, de conformidad con lo establecido en el párrafo 263 de la Sentencia</w:t>
      </w:r>
      <w:r w:rsidR="007857E3">
        <w:rPr>
          <w:color w:val="000000" w:themeColor="text1"/>
          <w:sz w:val="20"/>
          <w:szCs w:val="20"/>
          <w:lang w:val="es-ES"/>
        </w:rPr>
        <w:t>.</w:t>
      </w:r>
    </w:p>
    <w:p w14:paraId="3611DF27" w14:textId="77777777" w:rsidR="00CB0E1A" w:rsidRPr="00CB0E1A" w:rsidRDefault="00CB0E1A" w:rsidP="00931FCC">
      <w:pPr>
        <w:pStyle w:val="Prrafodelista"/>
        <w:ind w:left="0"/>
        <w:jc w:val="both"/>
        <w:rPr>
          <w:color w:val="000000" w:themeColor="text1"/>
          <w:sz w:val="20"/>
          <w:szCs w:val="20"/>
          <w:lang w:val="es-ES"/>
        </w:rPr>
      </w:pPr>
    </w:p>
    <w:p w14:paraId="66AAA904" w14:textId="0597B134" w:rsidR="00C57210" w:rsidRPr="00CB0E1A" w:rsidRDefault="00CB0E1A" w:rsidP="00931FCC">
      <w:pPr>
        <w:pStyle w:val="Prrafodelista"/>
        <w:numPr>
          <w:ilvl w:val="0"/>
          <w:numId w:val="2"/>
        </w:numPr>
        <w:ind w:left="0" w:firstLine="0"/>
        <w:jc w:val="both"/>
        <w:rPr>
          <w:color w:val="000000" w:themeColor="text1"/>
          <w:sz w:val="20"/>
          <w:szCs w:val="20"/>
          <w:lang w:val="es-ES"/>
        </w:rPr>
      </w:pPr>
      <w:r w:rsidRPr="00CB0E1A">
        <w:rPr>
          <w:color w:val="000000" w:themeColor="text1"/>
          <w:sz w:val="20"/>
          <w:szCs w:val="20"/>
          <w:lang w:val="es-ES"/>
        </w:rPr>
        <w:t>C</w:t>
      </w:r>
      <w:r w:rsidR="00C57210" w:rsidRPr="00CB0E1A">
        <w:rPr>
          <w:color w:val="000000" w:themeColor="text1"/>
          <w:sz w:val="20"/>
          <w:szCs w:val="20"/>
          <w:lang w:val="es-ES"/>
        </w:rPr>
        <w:t>ontinuar las campañas de concientización y sensibilización de la población en general sobre la prohibición y los efectos de la violencia y discriminación contra la mujer indígena, en los términos del párrafo 267 de la Sentencia.</w:t>
      </w:r>
    </w:p>
    <w:p w14:paraId="3C22F417" w14:textId="77777777" w:rsidR="00C57210" w:rsidRPr="00C57210" w:rsidRDefault="00C57210" w:rsidP="00CB0E1A">
      <w:pPr>
        <w:ind w:left="360" w:hanging="360"/>
        <w:rPr>
          <w:color w:val="000000" w:themeColor="text1"/>
          <w:lang w:val="es-ES"/>
        </w:rPr>
      </w:pPr>
    </w:p>
    <w:p w14:paraId="23FAF6F1" w14:textId="77777777" w:rsidR="00C57210" w:rsidRPr="00C57210" w:rsidRDefault="00C57210" w:rsidP="00CB0E1A">
      <w:pPr>
        <w:ind w:left="360" w:hanging="360"/>
        <w:rPr>
          <w:b/>
          <w:color w:val="000000" w:themeColor="text1"/>
          <w:sz w:val="20"/>
          <w:szCs w:val="20"/>
          <w:lang w:val="es-ES"/>
        </w:rPr>
      </w:pPr>
      <w:r w:rsidRPr="00C57210">
        <w:rPr>
          <w:b/>
          <w:color w:val="000000" w:themeColor="text1"/>
          <w:sz w:val="20"/>
          <w:szCs w:val="20"/>
          <w:lang w:val="es-ES"/>
        </w:rPr>
        <w:t>Cumplimiento parcial:</w:t>
      </w:r>
    </w:p>
    <w:p w14:paraId="6DE03432" w14:textId="77777777" w:rsidR="00C57210" w:rsidRPr="00C57210" w:rsidRDefault="00C57210" w:rsidP="00CB0E1A">
      <w:pPr>
        <w:ind w:left="360" w:hanging="360"/>
        <w:rPr>
          <w:b/>
          <w:color w:val="000000" w:themeColor="text1"/>
          <w:sz w:val="20"/>
          <w:szCs w:val="20"/>
          <w:lang w:val="es-ES"/>
        </w:rPr>
      </w:pPr>
    </w:p>
    <w:p w14:paraId="217B55C5" w14:textId="2775C6CC" w:rsidR="00931FCC" w:rsidRPr="002A214C" w:rsidRDefault="00931FCC" w:rsidP="00931FCC">
      <w:pPr>
        <w:pStyle w:val="Prrafodelista"/>
        <w:numPr>
          <w:ilvl w:val="0"/>
          <w:numId w:val="2"/>
        </w:numPr>
        <w:ind w:left="0" w:firstLine="0"/>
        <w:jc w:val="both"/>
        <w:rPr>
          <w:color w:val="000000" w:themeColor="text1"/>
          <w:sz w:val="20"/>
          <w:szCs w:val="20"/>
          <w:lang w:val="es-ES"/>
        </w:rPr>
      </w:pPr>
      <w:r w:rsidRPr="002A214C">
        <w:rPr>
          <w:color w:val="000000" w:themeColor="text1"/>
          <w:sz w:val="20"/>
          <w:szCs w:val="20"/>
          <w:lang w:val="es-ES"/>
        </w:rPr>
        <w:t xml:space="preserve">Adoptar, en un plazo razonable, las reformas legislativas pertinentes para compatibilizar el artículo 57 del Código de Justicia Militar con los estándares internacionales en la materia y de la Convención Americana sobre Derechos Humanos, de conformidad con lo establecido en el párrafo 222 de la Sentencia. </w:t>
      </w:r>
    </w:p>
    <w:p w14:paraId="13962DFA" w14:textId="77777777" w:rsidR="00931FCC" w:rsidRPr="00BB3663" w:rsidRDefault="00931FCC" w:rsidP="00931FCC">
      <w:pPr>
        <w:rPr>
          <w:b/>
          <w:color w:val="000000" w:themeColor="text1"/>
          <w:sz w:val="20"/>
          <w:szCs w:val="20"/>
          <w:lang w:val="es-ES"/>
        </w:rPr>
      </w:pPr>
    </w:p>
    <w:p w14:paraId="036E8745" w14:textId="77777777" w:rsidR="00931FCC" w:rsidRPr="00BB3663" w:rsidRDefault="00931FCC" w:rsidP="00931FCC">
      <w:pPr>
        <w:widowControl w:val="0"/>
        <w:autoSpaceDE w:val="0"/>
        <w:autoSpaceDN w:val="0"/>
        <w:adjustRightInd w:val="0"/>
        <w:ind w:right="99"/>
        <w:jc w:val="both"/>
        <w:rPr>
          <w:color w:val="000000" w:themeColor="text1"/>
          <w:sz w:val="20"/>
          <w:szCs w:val="20"/>
          <w:lang w:val="es-MX"/>
        </w:rPr>
      </w:pPr>
      <w:r>
        <w:rPr>
          <w:color w:val="000000" w:themeColor="text1"/>
          <w:sz w:val="20"/>
          <w:szCs w:val="20"/>
          <w:lang w:val="es-MX"/>
        </w:rPr>
        <w:t xml:space="preserve">En </w:t>
      </w:r>
      <w:r w:rsidRPr="00BB3663">
        <w:rPr>
          <w:color w:val="000000" w:themeColor="text1"/>
          <w:sz w:val="20"/>
          <w:szCs w:val="20"/>
          <w:lang w:val="es-MX"/>
        </w:rPr>
        <w:t>l</w:t>
      </w:r>
      <w:r>
        <w:rPr>
          <w:color w:val="000000" w:themeColor="text1"/>
          <w:sz w:val="20"/>
          <w:szCs w:val="20"/>
          <w:lang w:val="es-MX"/>
        </w:rPr>
        <w:t>os</w:t>
      </w:r>
      <w:r w:rsidRPr="00BB3663">
        <w:rPr>
          <w:color w:val="000000" w:themeColor="text1"/>
          <w:sz w:val="20"/>
          <w:szCs w:val="20"/>
          <w:lang w:val="es-MX"/>
        </w:rPr>
        <w:t xml:space="preserve"> Considerando</w:t>
      </w:r>
      <w:r>
        <w:rPr>
          <w:color w:val="000000" w:themeColor="text1"/>
          <w:sz w:val="20"/>
          <w:szCs w:val="20"/>
          <w:lang w:val="es-MX"/>
        </w:rPr>
        <w:t>s</w:t>
      </w:r>
      <w:r w:rsidRPr="00BB3663">
        <w:rPr>
          <w:color w:val="000000" w:themeColor="text1"/>
          <w:sz w:val="20"/>
          <w:szCs w:val="20"/>
          <w:lang w:val="es-MX"/>
        </w:rPr>
        <w:t xml:space="preserve"> 22</w:t>
      </w:r>
      <w:r>
        <w:rPr>
          <w:color w:val="000000" w:themeColor="text1"/>
          <w:sz w:val="20"/>
          <w:szCs w:val="20"/>
          <w:lang w:val="es-MX"/>
        </w:rPr>
        <w:t xml:space="preserve"> y 23</w:t>
      </w:r>
      <w:r w:rsidRPr="00BB3663">
        <w:rPr>
          <w:color w:val="000000" w:themeColor="text1"/>
          <w:sz w:val="20"/>
          <w:szCs w:val="20"/>
          <w:lang w:val="es-MX"/>
        </w:rPr>
        <w:t xml:space="preserve"> de la </w:t>
      </w:r>
      <w:r>
        <w:rPr>
          <w:color w:val="000000" w:themeColor="text1"/>
          <w:sz w:val="20"/>
          <w:szCs w:val="20"/>
          <w:lang w:val="es-MX"/>
        </w:rPr>
        <w:t>R</w:t>
      </w:r>
      <w:r w:rsidRPr="00BB3663">
        <w:rPr>
          <w:color w:val="000000" w:themeColor="text1"/>
          <w:sz w:val="20"/>
          <w:szCs w:val="20"/>
          <w:lang w:val="es-MX"/>
        </w:rPr>
        <w:t xml:space="preserve">esolución de la Corte de 17 de abril de 2015 </w:t>
      </w:r>
      <w:r w:rsidRPr="00BB3663">
        <w:rPr>
          <w:color w:val="000000" w:themeColor="text1"/>
          <w:sz w:val="20"/>
          <w:lang w:val="es-MX"/>
        </w:rPr>
        <w:t>se explica lo que continúa pendiente de cumplimiento respecto a la presente medida de reparación:</w:t>
      </w:r>
    </w:p>
    <w:p w14:paraId="4248256D" w14:textId="77777777" w:rsidR="00931FCC" w:rsidRPr="00BB3663" w:rsidRDefault="00931FCC" w:rsidP="00931FCC">
      <w:pPr>
        <w:tabs>
          <w:tab w:val="left" w:pos="709"/>
        </w:tabs>
        <w:ind w:right="630"/>
        <w:jc w:val="both"/>
        <w:rPr>
          <w:color w:val="000000" w:themeColor="text1"/>
          <w:sz w:val="20"/>
          <w:szCs w:val="20"/>
        </w:rPr>
      </w:pPr>
    </w:p>
    <w:p w14:paraId="64D0ABC0" w14:textId="77777777" w:rsidR="00931FCC" w:rsidRDefault="00931FCC" w:rsidP="00931FCC">
      <w:pPr>
        <w:tabs>
          <w:tab w:val="left" w:pos="709"/>
        </w:tabs>
        <w:ind w:left="709" w:right="720"/>
        <w:jc w:val="both"/>
        <w:rPr>
          <w:color w:val="000000" w:themeColor="text1"/>
          <w:sz w:val="18"/>
          <w:szCs w:val="18"/>
        </w:rPr>
      </w:pPr>
      <w:r w:rsidRPr="00BB3663">
        <w:rPr>
          <w:color w:val="000000" w:themeColor="text1"/>
          <w:sz w:val="18"/>
          <w:szCs w:val="18"/>
        </w:rPr>
        <w:lastRenderedPageBreak/>
        <w:t>22.</w:t>
      </w:r>
      <w:r w:rsidRPr="00BB3663">
        <w:rPr>
          <w:color w:val="000000" w:themeColor="text1"/>
          <w:sz w:val="18"/>
          <w:szCs w:val="18"/>
        </w:rPr>
        <w:tab/>
        <w:t xml:space="preserve">Debido a que el artículo 57.II.a) del Código de Justicia Militar reformado aún autoriza la intervención del fuero militar en los delitos en que el imputado y la víctima sean militares y en los delitos en que el imputado sea militar y no sea un civil el sujeto pasivo del delito o titular del bien jurídico, la Corte estima que la actual legislación continúa sin adaptarse parcialmente (supra Considerando 17 y 20) a los siguientes estándares jurisprudenciales: </w:t>
      </w:r>
    </w:p>
    <w:p w14:paraId="3459C6D5" w14:textId="77777777" w:rsidR="00931FCC" w:rsidRDefault="00931FCC" w:rsidP="00931FCC">
      <w:pPr>
        <w:tabs>
          <w:tab w:val="left" w:pos="709"/>
        </w:tabs>
        <w:ind w:left="709" w:right="720"/>
        <w:jc w:val="both"/>
        <w:rPr>
          <w:color w:val="000000" w:themeColor="text1"/>
          <w:sz w:val="18"/>
          <w:szCs w:val="18"/>
        </w:rPr>
      </w:pPr>
    </w:p>
    <w:p w14:paraId="732DAA4C" w14:textId="77777777" w:rsidR="00931FCC" w:rsidRDefault="00931FCC" w:rsidP="00931FCC">
      <w:pPr>
        <w:pStyle w:val="Prrafodelista"/>
        <w:numPr>
          <w:ilvl w:val="0"/>
          <w:numId w:val="3"/>
        </w:numPr>
        <w:tabs>
          <w:tab w:val="left" w:pos="709"/>
        </w:tabs>
        <w:spacing w:after="240"/>
        <w:ind w:right="720"/>
        <w:jc w:val="both"/>
        <w:rPr>
          <w:color w:val="000000" w:themeColor="text1"/>
          <w:sz w:val="18"/>
          <w:szCs w:val="18"/>
        </w:rPr>
      </w:pPr>
      <w:r w:rsidRPr="00ED7A14">
        <w:rPr>
          <w:color w:val="000000" w:themeColor="text1"/>
          <w:sz w:val="18"/>
          <w:szCs w:val="18"/>
        </w:rPr>
        <w:t xml:space="preserve">la jurisdicción militar no es el fuero competente para investigar y, en su caso, juzgar y sancionar a los autores de violaciones de derechos humanos, aun cuando el sujeto activo y pasivo sean militares, y </w:t>
      </w:r>
    </w:p>
    <w:p w14:paraId="39EB2C68" w14:textId="77777777" w:rsidR="00931FCC" w:rsidRPr="00ED7A14" w:rsidRDefault="00931FCC" w:rsidP="00931FCC">
      <w:pPr>
        <w:pStyle w:val="Prrafodelista"/>
        <w:tabs>
          <w:tab w:val="left" w:pos="709"/>
        </w:tabs>
        <w:spacing w:after="240"/>
        <w:ind w:left="1069" w:right="720"/>
        <w:jc w:val="both"/>
        <w:rPr>
          <w:color w:val="000000" w:themeColor="text1"/>
          <w:sz w:val="18"/>
          <w:szCs w:val="18"/>
        </w:rPr>
      </w:pPr>
    </w:p>
    <w:p w14:paraId="0E1362EF" w14:textId="77777777" w:rsidR="00931FCC" w:rsidRPr="00ED7A14" w:rsidRDefault="00931FCC" w:rsidP="00931FCC">
      <w:pPr>
        <w:pStyle w:val="Prrafodelista"/>
        <w:numPr>
          <w:ilvl w:val="0"/>
          <w:numId w:val="3"/>
        </w:numPr>
        <w:tabs>
          <w:tab w:val="left" w:pos="709"/>
        </w:tabs>
        <w:spacing w:before="240"/>
        <w:ind w:right="720"/>
        <w:jc w:val="both"/>
        <w:rPr>
          <w:color w:val="000000" w:themeColor="text1"/>
          <w:sz w:val="18"/>
          <w:szCs w:val="18"/>
        </w:rPr>
      </w:pPr>
      <w:r w:rsidRPr="00ED7A14">
        <w:rPr>
          <w:color w:val="000000" w:themeColor="text1"/>
          <w:sz w:val="18"/>
          <w:szCs w:val="18"/>
        </w:rPr>
        <w:t>en el fuero militar sólo se puede juzgar la comisión de delitos o faltas (cometidos por militares activos) que por su propia naturaleza atenten contra bienes jurídicos propios del orden militar.</w:t>
      </w:r>
    </w:p>
    <w:p w14:paraId="18C71370" w14:textId="77777777" w:rsidR="00931FCC" w:rsidRDefault="00931FCC" w:rsidP="00931FCC">
      <w:pPr>
        <w:tabs>
          <w:tab w:val="left" w:pos="709"/>
        </w:tabs>
        <w:ind w:left="709" w:right="720"/>
        <w:jc w:val="both"/>
        <w:rPr>
          <w:color w:val="000000" w:themeColor="text1"/>
          <w:sz w:val="18"/>
          <w:szCs w:val="18"/>
        </w:rPr>
      </w:pPr>
    </w:p>
    <w:p w14:paraId="28417466" w14:textId="77777777" w:rsidR="00931FCC" w:rsidRPr="00BB3663" w:rsidRDefault="00931FCC" w:rsidP="00931FCC">
      <w:pPr>
        <w:tabs>
          <w:tab w:val="left" w:pos="709"/>
        </w:tabs>
        <w:ind w:left="709" w:right="720"/>
        <w:jc w:val="both"/>
        <w:rPr>
          <w:color w:val="000000" w:themeColor="text1"/>
          <w:sz w:val="18"/>
          <w:szCs w:val="18"/>
        </w:rPr>
      </w:pPr>
      <w:r w:rsidRPr="00F614E0">
        <w:rPr>
          <w:color w:val="000000" w:themeColor="text1"/>
          <w:sz w:val="18"/>
          <w:szCs w:val="18"/>
        </w:rPr>
        <w:t>23.</w:t>
      </w:r>
      <w:r w:rsidRPr="00F614E0">
        <w:rPr>
          <w:color w:val="000000" w:themeColor="text1"/>
          <w:sz w:val="18"/>
          <w:szCs w:val="18"/>
        </w:rPr>
        <w:tab/>
        <w:t>A partir de las consideraciones expuestas, la Corte concluye que la reforma del artículo 57 del Código de Justicia Militar constituye una importante armonización del derecho interno mexicano con los estándares convencionales e internacionales en materia de jurisdicción penal militar, por lo que el Estado ha dado cumplimiento parcial a la reparación ordenada en el punto dispositivo décimo de la Sentencia en el caso Radilla Pacheco, en el punto dispositivo décimo tercero de la Sentencia del caso Fernández Ortega y otros, y en el punto dispositivo décimo segundo de la Sentencia del caso Rosendo Cantú. Sin embargo, para poder evaluar el cumplimiento total de la medida de reparación ordenada se requiere que, con base en las consideraciones precedentes, México adopte las medidas necesarias a fin de adecuar de forma completa, en un plazo razonable, su derecho interno a los referidos estándares (supra Considerandos 20 y 22).</w:t>
      </w:r>
    </w:p>
    <w:p w14:paraId="721B362F" w14:textId="77777777" w:rsidR="00931FCC" w:rsidRDefault="00931FCC" w:rsidP="00931FCC">
      <w:pPr>
        <w:pStyle w:val="Prrafodelista"/>
        <w:ind w:left="0"/>
        <w:jc w:val="both"/>
        <w:rPr>
          <w:color w:val="000000" w:themeColor="text1"/>
          <w:sz w:val="20"/>
          <w:szCs w:val="20"/>
          <w:lang w:val="es-ES"/>
        </w:rPr>
      </w:pPr>
    </w:p>
    <w:p w14:paraId="18FA8DB5" w14:textId="77777777" w:rsidR="00931FCC" w:rsidRPr="006C7539" w:rsidRDefault="00931FCC" w:rsidP="00931FCC">
      <w:pPr>
        <w:pStyle w:val="Prrafodelista"/>
        <w:numPr>
          <w:ilvl w:val="0"/>
          <w:numId w:val="2"/>
        </w:numPr>
        <w:ind w:left="0" w:firstLine="0"/>
        <w:jc w:val="both"/>
        <w:rPr>
          <w:color w:val="000000" w:themeColor="text1"/>
          <w:sz w:val="20"/>
          <w:szCs w:val="20"/>
          <w:lang w:val="es-ES"/>
        </w:rPr>
      </w:pPr>
      <w:r w:rsidRPr="006C7539">
        <w:rPr>
          <w:color w:val="000000" w:themeColor="text1"/>
          <w:sz w:val="20"/>
          <w:szCs w:val="20"/>
          <w:lang w:val="es-ES"/>
        </w:rPr>
        <w:t>Conducir en el fuero ordinario, eficazmente y dentro de un plazo razonable, la investigación y, en su caso, el proceso penal que tramite en relación con la violación sexual de la señora Rosendo Cantú, con el fin de determinar las correspondientes responsabilidades penales y aplicar, en su caso, las sanciones y demás consecuencias que la ley prevea, de conformidad con lo establecido en los párrafos 211 a 213 de la Sentencia.</w:t>
      </w:r>
    </w:p>
    <w:p w14:paraId="5F1B0A21" w14:textId="77777777" w:rsidR="00931FCC" w:rsidRDefault="00931FCC" w:rsidP="00931FCC">
      <w:pPr>
        <w:rPr>
          <w:b/>
          <w:sz w:val="20"/>
          <w:szCs w:val="20"/>
          <w:lang w:val="es-ES"/>
        </w:rPr>
      </w:pPr>
    </w:p>
    <w:p w14:paraId="2B6088BA" w14:textId="77777777" w:rsidR="00931FCC" w:rsidRPr="006C7539" w:rsidRDefault="00931FCC" w:rsidP="00931FCC">
      <w:pPr>
        <w:widowControl w:val="0"/>
        <w:autoSpaceDE w:val="0"/>
        <w:autoSpaceDN w:val="0"/>
        <w:adjustRightInd w:val="0"/>
        <w:ind w:right="99"/>
        <w:jc w:val="both"/>
        <w:rPr>
          <w:color w:val="000000" w:themeColor="text1"/>
          <w:sz w:val="20"/>
          <w:szCs w:val="20"/>
          <w:lang w:val="es-MX"/>
        </w:rPr>
      </w:pPr>
      <w:r>
        <w:rPr>
          <w:color w:val="000000" w:themeColor="text1"/>
          <w:sz w:val="20"/>
          <w:szCs w:val="20"/>
          <w:lang w:val="es-MX"/>
        </w:rPr>
        <w:t xml:space="preserve">En </w:t>
      </w:r>
      <w:r w:rsidRPr="00BB3663">
        <w:rPr>
          <w:color w:val="000000" w:themeColor="text1"/>
          <w:sz w:val="20"/>
          <w:szCs w:val="20"/>
          <w:lang w:val="es-MX"/>
        </w:rPr>
        <w:t>l</w:t>
      </w:r>
      <w:r>
        <w:rPr>
          <w:color w:val="000000" w:themeColor="text1"/>
          <w:sz w:val="20"/>
          <w:szCs w:val="20"/>
          <w:lang w:val="es-MX"/>
        </w:rPr>
        <w:t>os</w:t>
      </w:r>
      <w:r w:rsidRPr="00BB3663">
        <w:rPr>
          <w:color w:val="000000" w:themeColor="text1"/>
          <w:sz w:val="20"/>
          <w:szCs w:val="20"/>
          <w:lang w:val="es-MX"/>
        </w:rPr>
        <w:t xml:space="preserve"> Considerando</w:t>
      </w:r>
      <w:r>
        <w:rPr>
          <w:color w:val="000000" w:themeColor="text1"/>
          <w:sz w:val="20"/>
          <w:szCs w:val="20"/>
          <w:lang w:val="es-MX"/>
        </w:rPr>
        <w:t xml:space="preserve"> 17</w:t>
      </w:r>
      <w:r w:rsidRPr="00BB3663">
        <w:rPr>
          <w:color w:val="000000" w:themeColor="text1"/>
          <w:sz w:val="20"/>
          <w:szCs w:val="20"/>
          <w:lang w:val="es-MX"/>
        </w:rPr>
        <w:t xml:space="preserve"> de la </w:t>
      </w:r>
      <w:r>
        <w:rPr>
          <w:color w:val="000000" w:themeColor="text1"/>
          <w:sz w:val="20"/>
          <w:szCs w:val="20"/>
          <w:lang w:val="es-MX"/>
        </w:rPr>
        <w:t>R</w:t>
      </w:r>
      <w:r w:rsidRPr="00BB3663">
        <w:rPr>
          <w:color w:val="000000" w:themeColor="text1"/>
          <w:sz w:val="20"/>
          <w:szCs w:val="20"/>
          <w:lang w:val="es-MX"/>
        </w:rPr>
        <w:t>esolución de la Corte de 1</w:t>
      </w:r>
      <w:r>
        <w:rPr>
          <w:color w:val="000000" w:themeColor="text1"/>
          <w:sz w:val="20"/>
          <w:szCs w:val="20"/>
          <w:lang w:val="es-MX"/>
        </w:rPr>
        <w:t>2</w:t>
      </w:r>
      <w:r w:rsidRPr="00BB3663">
        <w:rPr>
          <w:color w:val="000000" w:themeColor="text1"/>
          <w:sz w:val="20"/>
          <w:szCs w:val="20"/>
          <w:lang w:val="es-MX"/>
        </w:rPr>
        <w:t xml:space="preserve"> de </w:t>
      </w:r>
      <w:r>
        <w:rPr>
          <w:color w:val="000000" w:themeColor="text1"/>
          <w:sz w:val="20"/>
          <w:szCs w:val="20"/>
          <w:lang w:val="es-MX"/>
        </w:rPr>
        <w:t>marzo</w:t>
      </w:r>
      <w:r w:rsidRPr="00BB3663">
        <w:rPr>
          <w:color w:val="000000" w:themeColor="text1"/>
          <w:sz w:val="20"/>
          <w:szCs w:val="20"/>
          <w:lang w:val="es-MX"/>
        </w:rPr>
        <w:t xml:space="preserve"> de 20</w:t>
      </w:r>
      <w:r>
        <w:rPr>
          <w:color w:val="000000" w:themeColor="text1"/>
          <w:sz w:val="20"/>
          <w:szCs w:val="20"/>
          <w:lang w:val="es-MX"/>
        </w:rPr>
        <w:t>20</w:t>
      </w:r>
      <w:r w:rsidRPr="00BB3663">
        <w:rPr>
          <w:color w:val="000000" w:themeColor="text1"/>
          <w:sz w:val="20"/>
          <w:szCs w:val="20"/>
          <w:lang w:val="es-MX"/>
        </w:rPr>
        <w:t xml:space="preserve"> </w:t>
      </w:r>
      <w:r w:rsidRPr="00BB3663">
        <w:rPr>
          <w:color w:val="000000" w:themeColor="text1"/>
          <w:sz w:val="20"/>
          <w:lang w:val="es-MX"/>
        </w:rPr>
        <w:t xml:space="preserve">se explica </w:t>
      </w:r>
      <w:r>
        <w:rPr>
          <w:color w:val="000000" w:themeColor="text1"/>
          <w:sz w:val="20"/>
          <w:lang w:val="es-MX"/>
        </w:rPr>
        <w:t xml:space="preserve">que el Estado ha venido dando cumplimiento </w:t>
      </w:r>
      <w:r w:rsidRPr="00BB3663">
        <w:rPr>
          <w:color w:val="000000" w:themeColor="text1"/>
          <w:sz w:val="20"/>
          <w:lang w:val="es-MX"/>
        </w:rPr>
        <w:t>a la presente medida de reparación:</w:t>
      </w:r>
    </w:p>
    <w:p w14:paraId="316A2143" w14:textId="77777777" w:rsidR="00931FCC" w:rsidRPr="006C7539" w:rsidRDefault="00931FCC" w:rsidP="00931FCC">
      <w:pPr>
        <w:pStyle w:val="NormalWeb"/>
        <w:ind w:left="720" w:right="713"/>
        <w:jc w:val="both"/>
        <w:rPr>
          <w:sz w:val="18"/>
          <w:szCs w:val="18"/>
        </w:rPr>
      </w:pPr>
      <w:r w:rsidRPr="006C7539">
        <w:rPr>
          <w:rFonts w:ascii="Verdana" w:hAnsi="Verdana"/>
          <w:sz w:val="18"/>
          <w:szCs w:val="18"/>
        </w:rPr>
        <w:t xml:space="preserve">17. En virtud de lo expuesto, y teniendo en cuenta: (i) que se ha condenado a dos militares por la violación sexual y tortura cometidas en perjuicio de la víctima; (ii) que el propio Estado ha reconocido que se ha excedido en el plazo para la resolución de los amparos planteados frente a dichas condenas y, por tanto, las mismas aún no se encuentran firmes, así como (iii) que está en trámite una investigación, aún en etapas iniciales, para determinar otros posibles responsables de los hechos </w:t>
      </w:r>
      <w:r>
        <w:rPr>
          <w:rFonts w:ascii="Verdana" w:hAnsi="Verdana"/>
          <w:sz w:val="18"/>
          <w:szCs w:val="18"/>
        </w:rPr>
        <w:t>[…]</w:t>
      </w:r>
      <w:r w:rsidRPr="006C7539">
        <w:rPr>
          <w:rFonts w:ascii="Verdana" w:hAnsi="Verdana"/>
          <w:sz w:val="18"/>
          <w:szCs w:val="18"/>
        </w:rPr>
        <w:t xml:space="preserve">, este Tribunal estima que México ha venido dando cumplimiento y debe continuar implementando su obligación de conducir en el fuero ordinario, eficazmente y dentro de un plazo razonable, la investigación y, en su caso, el proceso penal, que tramite con relación a la violación sexual de la señora Rosendo Cantú, con el fin de determinar las correspondientes responsabilidades penales y aplicar, en su caso, las sanciones y demás consecuencias que la ley prevea, según fue ordenado en el punto resolutivo décimo de la Sentencia. </w:t>
      </w:r>
    </w:p>
    <w:p w14:paraId="6AC74B3E" w14:textId="77777777" w:rsidR="00204770" w:rsidRPr="00204770" w:rsidRDefault="00204770">
      <w:pPr>
        <w:rPr>
          <w:lang w:val="es-EC"/>
        </w:rPr>
      </w:pPr>
    </w:p>
    <w:sectPr w:rsidR="00204770" w:rsidRPr="002047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7689" w14:textId="77777777" w:rsidR="00852C11" w:rsidRDefault="00852C11" w:rsidP="00C57210">
      <w:r>
        <w:separator/>
      </w:r>
    </w:p>
  </w:endnote>
  <w:endnote w:type="continuationSeparator" w:id="0">
    <w:p w14:paraId="6BFCB2D4" w14:textId="77777777" w:rsidR="00852C11" w:rsidRDefault="00852C11" w:rsidP="00C5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auto"/>
    <w:pitch w:val="variable"/>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C0F5" w14:textId="77777777" w:rsidR="00C57210" w:rsidRPr="005337F1" w:rsidRDefault="00C57210" w:rsidP="00C57210">
    <w:pPr>
      <w:jc w:val="both"/>
      <w:rPr>
        <w:bCs/>
        <w:szCs w:val="16"/>
        <w:lang w:val="es-MX"/>
      </w:rPr>
    </w:pPr>
    <w:r w:rsidRPr="005337F1">
      <w:rPr>
        <w:bCs/>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FE451F8" w14:textId="77777777" w:rsidR="00C57210" w:rsidRPr="00C57210" w:rsidRDefault="00C5721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8EA4" w14:textId="77777777" w:rsidR="00852C11" w:rsidRDefault="00852C11" w:rsidP="00C57210">
      <w:r>
        <w:separator/>
      </w:r>
    </w:p>
  </w:footnote>
  <w:footnote w:type="continuationSeparator" w:id="0">
    <w:p w14:paraId="3CA6E62A" w14:textId="77777777" w:rsidR="00852C11" w:rsidRDefault="00852C11" w:rsidP="00C5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246673"/>
      <w:docPartObj>
        <w:docPartGallery w:val="Page Numbers (Top of Page)"/>
        <w:docPartUnique/>
      </w:docPartObj>
    </w:sdtPr>
    <w:sdtEndPr>
      <w:rPr>
        <w:noProof/>
      </w:rPr>
    </w:sdtEndPr>
    <w:sdtContent>
      <w:p w14:paraId="2DC78966" w14:textId="77777777" w:rsidR="00C57210" w:rsidRDefault="00C57210">
        <w:pPr>
          <w:pStyle w:val="Encabezado"/>
          <w:jc w:val="right"/>
        </w:pPr>
        <w:r w:rsidRPr="00C57210">
          <w:rPr>
            <w:sz w:val="20"/>
            <w:szCs w:val="20"/>
          </w:rPr>
          <w:fldChar w:fldCharType="begin"/>
        </w:r>
        <w:r w:rsidRPr="00C57210">
          <w:rPr>
            <w:sz w:val="20"/>
            <w:szCs w:val="20"/>
          </w:rPr>
          <w:instrText xml:space="preserve"> PAGE   \* MERGEFORMAT </w:instrText>
        </w:r>
        <w:r w:rsidRPr="00C57210">
          <w:rPr>
            <w:sz w:val="20"/>
            <w:szCs w:val="20"/>
          </w:rPr>
          <w:fldChar w:fldCharType="separate"/>
        </w:r>
        <w:r w:rsidR="00566123">
          <w:rPr>
            <w:noProof/>
            <w:sz w:val="20"/>
            <w:szCs w:val="20"/>
          </w:rPr>
          <w:t>2</w:t>
        </w:r>
        <w:r w:rsidRPr="00C57210">
          <w:rPr>
            <w:noProof/>
            <w:sz w:val="20"/>
            <w:szCs w:val="20"/>
          </w:rPr>
          <w:fldChar w:fldCharType="end"/>
        </w:r>
      </w:p>
    </w:sdtContent>
  </w:sdt>
  <w:p w14:paraId="5AEEEA71" w14:textId="77777777" w:rsidR="00C57210" w:rsidRDefault="00C572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D0B"/>
    <w:multiLevelType w:val="hybridMultilevel"/>
    <w:tmpl w:val="1F021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047FB"/>
    <w:multiLevelType w:val="hybridMultilevel"/>
    <w:tmpl w:val="6C64C2B2"/>
    <w:lvl w:ilvl="0" w:tplc="6B76F3B0">
      <w:start w:val="1"/>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 w15:restartNumberingAfterBreak="0">
    <w:nsid w:val="75E8199C"/>
    <w:multiLevelType w:val="hybridMultilevel"/>
    <w:tmpl w:val="72882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528349">
    <w:abstractNumId w:val="2"/>
  </w:num>
  <w:num w:numId="2" w16cid:durableId="550919643">
    <w:abstractNumId w:val="0"/>
  </w:num>
  <w:num w:numId="3" w16cid:durableId="1024332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10"/>
    <w:rsid w:val="00204770"/>
    <w:rsid w:val="00271DBA"/>
    <w:rsid w:val="003A7E5E"/>
    <w:rsid w:val="0052447B"/>
    <w:rsid w:val="00566123"/>
    <w:rsid w:val="00573952"/>
    <w:rsid w:val="00577DF8"/>
    <w:rsid w:val="006E7B54"/>
    <w:rsid w:val="007857E3"/>
    <w:rsid w:val="00852C11"/>
    <w:rsid w:val="00931FCC"/>
    <w:rsid w:val="009832C0"/>
    <w:rsid w:val="00B75C62"/>
    <w:rsid w:val="00BA1954"/>
    <w:rsid w:val="00BF2B11"/>
    <w:rsid w:val="00C57210"/>
    <w:rsid w:val="00CB0E1A"/>
    <w:rsid w:val="00D6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D594"/>
  <w15:docId w15:val="{072CDD16-FBA4-B641-9218-F06DA2CC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10"/>
    <w:pPr>
      <w:spacing w:after="0" w:line="240" w:lineRule="auto"/>
    </w:pPr>
    <w:rPr>
      <w:rFonts w:ascii="Verdana" w:eastAsia="ヒラギノ角ゴ Pro W3" w:hAnsi="Verdana" w:cs="Times New Roman"/>
      <w:color w:val="000000"/>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210"/>
    <w:pPr>
      <w:tabs>
        <w:tab w:val="center" w:pos="4680"/>
        <w:tab w:val="right" w:pos="9360"/>
      </w:tabs>
    </w:pPr>
  </w:style>
  <w:style w:type="character" w:customStyle="1" w:styleId="EncabezadoCar">
    <w:name w:val="Encabezado Car"/>
    <w:basedOn w:val="Fuentedeprrafopredeter"/>
    <w:link w:val="Encabezado"/>
    <w:uiPriority w:val="99"/>
    <w:rsid w:val="00C57210"/>
    <w:rPr>
      <w:rFonts w:ascii="Verdana" w:eastAsia="ヒラギノ角ゴ Pro W3" w:hAnsi="Verdana" w:cs="Times New Roman"/>
      <w:color w:val="000000"/>
      <w:sz w:val="16"/>
      <w:szCs w:val="24"/>
      <w:lang w:val="es-ES_tradnl"/>
    </w:rPr>
  </w:style>
  <w:style w:type="paragraph" w:styleId="Piedepgina">
    <w:name w:val="footer"/>
    <w:basedOn w:val="Normal"/>
    <w:link w:val="PiedepginaCar"/>
    <w:uiPriority w:val="99"/>
    <w:unhideWhenUsed/>
    <w:rsid w:val="00C57210"/>
    <w:pPr>
      <w:tabs>
        <w:tab w:val="center" w:pos="4680"/>
        <w:tab w:val="right" w:pos="9360"/>
      </w:tabs>
    </w:pPr>
  </w:style>
  <w:style w:type="character" w:customStyle="1" w:styleId="PiedepginaCar">
    <w:name w:val="Pie de página Car"/>
    <w:basedOn w:val="Fuentedeprrafopredeter"/>
    <w:link w:val="Piedepgina"/>
    <w:uiPriority w:val="99"/>
    <w:rsid w:val="00C57210"/>
    <w:rPr>
      <w:rFonts w:ascii="Verdana" w:eastAsia="ヒラギノ角ゴ Pro W3" w:hAnsi="Verdana" w:cs="Times New Roman"/>
      <w:color w:val="000000"/>
      <w:sz w:val="16"/>
      <w:szCs w:val="24"/>
      <w:lang w:val="es-ES_tradnl"/>
    </w:rPr>
  </w:style>
  <w:style w:type="paragraph" w:styleId="Prrafodelista">
    <w:name w:val="List Paragraph"/>
    <w:basedOn w:val="Normal"/>
    <w:uiPriority w:val="34"/>
    <w:qFormat/>
    <w:rsid w:val="00CB0E1A"/>
    <w:pPr>
      <w:ind w:left="720"/>
      <w:contextualSpacing/>
    </w:pPr>
  </w:style>
  <w:style w:type="paragraph" w:styleId="NormalWeb">
    <w:name w:val="Normal (Web)"/>
    <w:basedOn w:val="Normal"/>
    <w:uiPriority w:val="99"/>
    <w:semiHidden/>
    <w:unhideWhenUsed/>
    <w:rsid w:val="00204770"/>
    <w:pPr>
      <w:spacing w:before="100" w:beforeAutospacing="1" w:after="100" w:afterAutospacing="1"/>
    </w:pPr>
    <w:rPr>
      <w:rFonts w:ascii="Times New Roman" w:eastAsia="Times New Roman" w:hAnsi="Times New Roman"/>
      <w:color w:val="auto"/>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990</Words>
  <Characters>5446</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Romina Troconis</cp:lastModifiedBy>
  <cp:revision>8</cp:revision>
  <dcterms:created xsi:type="dcterms:W3CDTF">2023-05-15T21:57:00Z</dcterms:created>
  <dcterms:modified xsi:type="dcterms:W3CDTF">2023-06-13T17:21:00Z</dcterms:modified>
</cp:coreProperties>
</file>