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12" w:rsidRDefault="004A6812" w:rsidP="008F5955">
      <w:pPr>
        <w:jc w:val="center"/>
        <w:rPr>
          <w:b/>
          <w:u w:val="single"/>
        </w:rPr>
      </w:pPr>
      <w:r w:rsidRPr="004A6812">
        <w:rPr>
          <w:b/>
          <w:u w:val="single"/>
        </w:rPr>
        <w:t xml:space="preserve">Caso de los Pueblos Indígenas Kuna de Madungandí y Emberá de Bayano y sus miembros </w:t>
      </w:r>
      <w:r w:rsidRPr="003E7BBA">
        <w:rPr>
          <w:b/>
          <w:i/>
          <w:u w:val="single"/>
        </w:rPr>
        <w:t>Vs.</w:t>
      </w:r>
      <w:r w:rsidRPr="004A6812">
        <w:rPr>
          <w:b/>
          <w:u w:val="single"/>
        </w:rPr>
        <w:t xml:space="preserve"> Panamá: reparaciones declaradas cumplidas</w:t>
      </w:r>
    </w:p>
    <w:p w:rsidR="004A6812" w:rsidRDefault="004A6812" w:rsidP="008F5955">
      <w:pPr>
        <w:rPr>
          <w:b/>
          <w:u w:val="single"/>
        </w:rPr>
      </w:pPr>
    </w:p>
    <w:p w:rsidR="004A6812" w:rsidRDefault="004A6812" w:rsidP="008F5955">
      <w:pPr>
        <w:rPr>
          <w:b/>
          <w:u w:val="single"/>
        </w:rPr>
      </w:pPr>
      <w:bookmarkStart w:id="0" w:name="_GoBack"/>
      <w:bookmarkEnd w:id="0"/>
    </w:p>
    <w:p w:rsidR="00FE39C0" w:rsidRPr="00FE39C0" w:rsidRDefault="00FE39C0" w:rsidP="008F5955">
      <w:pPr>
        <w:pStyle w:val="Prrafodelista"/>
        <w:numPr>
          <w:ilvl w:val="0"/>
          <w:numId w:val="1"/>
        </w:numPr>
        <w:ind w:left="360"/>
      </w:pPr>
      <w:r>
        <w:t>R</w:t>
      </w:r>
      <w:r w:rsidRPr="00FE39C0">
        <w:t>ealizar las publicaciones y radiodifusión del resumen oficial de la Sentencia indicados en los párrafos 216 y 217 de la misma;</w:t>
      </w:r>
    </w:p>
    <w:p w:rsidR="00FE39C0" w:rsidRPr="00FE39C0" w:rsidRDefault="00FE39C0" w:rsidP="008F5955">
      <w:pPr>
        <w:pStyle w:val="Prrafodelista"/>
        <w:numPr>
          <w:ilvl w:val="0"/>
          <w:numId w:val="1"/>
        </w:numPr>
        <w:ind w:left="360"/>
      </w:pPr>
      <w:r>
        <w:t>R</w:t>
      </w:r>
      <w:r w:rsidRPr="00FE39C0">
        <w:t>ealizar un  acto público de reconocimiento de responsabilidad internacional en relación con los hechos del presente caso;</w:t>
      </w:r>
    </w:p>
    <w:p w:rsidR="00FE39C0" w:rsidRPr="00FE39C0" w:rsidRDefault="00FE39C0" w:rsidP="008F5955">
      <w:pPr>
        <w:pStyle w:val="Prrafodelista"/>
        <w:numPr>
          <w:ilvl w:val="0"/>
          <w:numId w:val="1"/>
        </w:numPr>
        <w:ind w:left="360"/>
      </w:pPr>
      <w:r>
        <w:t>P</w:t>
      </w:r>
      <w:r w:rsidRPr="00FE39C0">
        <w:t>agar las cantidades fijadas en los párrafos 240, 247 y 253 de la Sentencia por concepto de daño material e inmaterial y reintegro de costas y gastos</w:t>
      </w:r>
      <w:r>
        <w:t>, y</w:t>
      </w:r>
    </w:p>
    <w:p w:rsidR="004A6812" w:rsidRDefault="004A6812" w:rsidP="008F5955">
      <w:pPr>
        <w:pStyle w:val="Prrafodelista"/>
        <w:numPr>
          <w:ilvl w:val="0"/>
          <w:numId w:val="1"/>
        </w:numPr>
        <w:ind w:left="360"/>
      </w:pPr>
      <w:r>
        <w:t>Reintegrar al Fondo de Asistencia Legal de Víctimas de la Corte Interamericana de Derechos Humanos la cantidad erogada durante la tramitación del presente caso, en los términos de lo establecido en el párrafo 257 del presente Fallo.</w:t>
      </w:r>
    </w:p>
    <w:p w:rsidR="004A6812" w:rsidRDefault="004A6812" w:rsidP="008F5955">
      <w:pPr>
        <w:rPr>
          <w:b/>
          <w:u w:val="single"/>
        </w:rPr>
      </w:pPr>
    </w:p>
    <w:p w:rsidR="008F5955" w:rsidRDefault="008F5955" w:rsidP="008F5955">
      <w:pPr>
        <w:rPr>
          <w:b/>
          <w:u w:val="single"/>
        </w:rPr>
      </w:pPr>
      <w:r>
        <w:rPr>
          <w:b/>
          <w:u w:val="single"/>
        </w:rPr>
        <w:t xml:space="preserve">Cumplimiento parcial: </w:t>
      </w:r>
    </w:p>
    <w:p w:rsidR="008F5955" w:rsidRDefault="008F5955" w:rsidP="008F5955">
      <w:pPr>
        <w:rPr>
          <w:b/>
          <w:u w:val="single"/>
        </w:rPr>
      </w:pPr>
    </w:p>
    <w:p w:rsidR="008F5955" w:rsidRDefault="008F5955" w:rsidP="008F5955">
      <w:r>
        <w:t xml:space="preserve">5. </w:t>
      </w:r>
      <w:r>
        <w:t>Demarcar, dentro de un plazo de máximo un año, las tierras que corresponden a las comunidades Ipetí y Piriatí Emberá y titular las tierras Ipetí como derecho a la propiedad colectiva de la comunidad Ipetí Emberá, en los términos del párrafo 232 de la presente Sentencia</w:t>
      </w:r>
    </w:p>
    <w:p w:rsidR="008F5955" w:rsidRDefault="008F5955" w:rsidP="008F5955"/>
    <w:p w:rsidR="008F5955" w:rsidRDefault="008F5955" w:rsidP="008F5955">
      <w:pPr>
        <w:pStyle w:val="Textoindependiente"/>
        <w:jc w:val="both"/>
        <w:rPr>
          <w:lang w:val="es-CR"/>
        </w:rPr>
      </w:pPr>
      <w:r w:rsidRPr="00B16D65">
        <w:rPr>
          <w:lang w:val="es-CR"/>
        </w:rPr>
        <w:t xml:space="preserve">En </w:t>
      </w:r>
      <w:r>
        <w:rPr>
          <w:lang w:val="es-CR"/>
        </w:rPr>
        <w:t>el Considerando</w:t>
      </w:r>
      <w:r w:rsidRPr="00B16D65">
        <w:rPr>
          <w:lang w:val="es-CR"/>
        </w:rPr>
        <w:t xml:space="preserve"> </w:t>
      </w:r>
      <w:r>
        <w:rPr>
          <w:lang w:val="es-CR"/>
        </w:rPr>
        <w:t>6</w:t>
      </w:r>
      <w:r>
        <w:rPr>
          <w:lang w:val="es-CR"/>
        </w:rPr>
        <w:t xml:space="preserve"> de la Resolución de 1</w:t>
      </w:r>
      <w:r w:rsidRPr="00B16D65">
        <w:rPr>
          <w:lang w:val="es-CR"/>
        </w:rPr>
        <w:t xml:space="preserve">8 de </w:t>
      </w:r>
      <w:r>
        <w:rPr>
          <w:lang w:val="es-CR"/>
        </w:rPr>
        <w:t>noviembre de 2020</w:t>
      </w:r>
      <w:r w:rsidRPr="00B16D65">
        <w:rPr>
          <w:lang w:val="es-CR"/>
        </w:rPr>
        <w:t xml:space="preserve"> la Corte dispuso lo siguiente:</w:t>
      </w:r>
    </w:p>
    <w:p w:rsidR="008F5955" w:rsidRDefault="008F5955" w:rsidP="008F5955">
      <w:pPr>
        <w:pStyle w:val="Textoindependiente"/>
        <w:jc w:val="both"/>
        <w:rPr>
          <w:lang w:val="es-CR"/>
        </w:rPr>
      </w:pPr>
    </w:p>
    <w:p w:rsidR="008F5955" w:rsidRPr="008F5955" w:rsidRDefault="008F5955" w:rsidP="008F5955">
      <w:pPr>
        <w:pStyle w:val="Textoindependiente"/>
        <w:numPr>
          <w:ilvl w:val="0"/>
          <w:numId w:val="3"/>
        </w:numPr>
        <w:ind w:hanging="11"/>
        <w:jc w:val="both"/>
        <w:rPr>
          <w:lang w:val="es-CR"/>
        </w:rPr>
      </w:pPr>
      <w:r>
        <w:rPr>
          <w:lang w:val="es-CR"/>
        </w:rPr>
        <w:t xml:space="preserve">La </w:t>
      </w:r>
      <w:r w:rsidRPr="008F5955">
        <w:rPr>
          <w:lang w:val="es-CR"/>
        </w:rPr>
        <w:t>Corte constata en primer término que, de conformidad con la información brindada durante el proceso de supervisión12, y sobre la cual no existe ninguna controversia entre las partes13, las tierras de la Comunidad Emberá de Ipetí ya se encuentran tituladas. Por tanto, el Tribunal considera que el Estado ha cumplido con su obligación de titular el territorio de la Comunidad Emberá de Ipetí tal como fue ordenado en el punto resolutivo décimo segundo de la Sentencia.</w:t>
      </w:r>
    </w:p>
    <w:p w:rsidR="008F5955" w:rsidRPr="008F5955" w:rsidRDefault="008F5955" w:rsidP="008F5955">
      <w:pPr>
        <w:rPr>
          <w:lang w:val="es-CR"/>
        </w:rPr>
      </w:pPr>
    </w:p>
    <w:sectPr w:rsidR="008F5955" w:rsidRPr="008F59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E6" w:rsidRDefault="009430E6" w:rsidP="004A6812">
      <w:r>
        <w:separator/>
      </w:r>
    </w:p>
  </w:endnote>
  <w:endnote w:type="continuationSeparator" w:id="0">
    <w:p w:rsidR="009430E6" w:rsidRDefault="009430E6" w:rsidP="004A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12" w:rsidRPr="005337F1" w:rsidRDefault="004A6812" w:rsidP="004A6812">
    <w:pPr>
      <w:rPr>
        <w:bCs/>
        <w:sz w:val="16"/>
        <w:szCs w:val="16"/>
        <w:lang w:val="es-MX"/>
      </w:rPr>
    </w:pPr>
    <w:r w:rsidRPr="005337F1">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A6812" w:rsidRPr="004A6812" w:rsidRDefault="004A681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E6" w:rsidRDefault="009430E6" w:rsidP="004A6812">
      <w:r>
        <w:separator/>
      </w:r>
    </w:p>
  </w:footnote>
  <w:footnote w:type="continuationSeparator" w:id="0">
    <w:p w:rsidR="009430E6" w:rsidRDefault="009430E6" w:rsidP="004A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13429953"/>
      <w:docPartObj>
        <w:docPartGallery w:val="Page Numbers (Top of Page)"/>
        <w:docPartUnique/>
      </w:docPartObj>
    </w:sdtPr>
    <w:sdtEndPr>
      <w:rPr>
        <w:noProof/>
      </w:rPr>
    </w:sdtEndPr>
    <w:sdtContent>
      <w:p w:rsidR="004A6812" w:rsidRDefault="004A6812">
        <w:pPr>
          <w:pStyle w:val="Encabezado"/>
          <w:jc w:val="right"/>
        </w:pPr>
        <w:r>
          <w:rPr>
            <w:noProof w:val="0"/>
          </w:rPr>
          <w:fldChar w:fldCharType="begin"/>
        </w:r>
        <w:r>
          <w:instrText xml:space="preserve"> PAGE   \* MERGEFORMAT </w:instrText>
        </w:r>
        <w:r>
          <w:rPr>
            <w:noProof w:val="0"/>
          </w:rPr>
          <w:fldChar w:fldCharType="separate"/>
        </w:r>
        <w:r w:rsidR="008F5955">
          <w:t>1</w:t>
        </w:r>
        <w:r>
          <w:fldChar w:fldCharType="end"/>
        </w:r>
      </w:p>
    </w:sdtContent>
  </w:sdt>
  <w:p w:rsidR="004A6812" w:rsidRDefault="004A68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8CC"/>
    <w:multiLevelType w:val="hybridMultilevel"/>
    <w:tmpl w:val="0550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75C0E"/>
    <w:multiLevelType w:val="hybridMultilevel"/>
    <w:tmpl w:val="41605DC6"/>
    <w:lvl w:ilvl="0" w:tplc="140A0017">
      <w:start w:val="1"/>
      <w:numFmt w:val="lowerLetter"/>
      <w:lvlText w:val="%1)"/>
      <w:lvlJc w:val="left"/>
      <w:pPr>
        <w:ind w:left="990" w:hanging="360"/>
      </w:pPr>
    </w:lvl>
    <w:lvl w:ilvl="1" w:tplc="140A0019">
      <w:start w:val="1"/>
      <w:numFmt w:val="lowerLetter"/>
      <w:lvlText w:val="%2."/>
      <w:lvlJc w:val="left"/>
      <w:pPr>
        <w:ind w:left="1710" w:hanging="360"/>
      </w:pPr>
    </w:lvl>
    <w:lvl w:ilvl="2" w:tplc="140A001B">
      <w:start w:val="1"/>
      <w:numFmt w:val="lowerRoman"/>
      <w:lvlText w:val="%3."/>
      <w:lvlJc w:val="right"/>
      <w:pPr>
        <w:ind w:left="2430" w:hanging="180"/>
      </w:pPr>
    </w:lvl>
    <w:lvl w:ilvl="3" w:tplc="140A000F">
      <w:start w:val="1"/>
      <w:numFmt w:val="decimal"/>
      <w:lvlText w:val="%4."/>
      <w:lvlJc w:val="left"/>
      <w:pPr>
        <w:ind w:left="3150" w:hanging="360"/>
      </w:pPr>
    </w:lvl>
    <w:lvl w:ilvl="4" w:tplc="140A0019">
      <w:start w:val="1"/>
      <w:numFmt w:val="lowerLetter"/>
      <w:lvlText w:val="%5."/>
      <w:lvlJc w:val="left"/>
      <w:pPr>
        <w:ind w:left="3870" w:hanging="360"/>
      </w:pPr>
    </w:lvl>
    <w:lvl w:ilvl="5" w:tplc="140A001B">
      <w:start w:val="1"/>
      <w:numFmt w:val="lowerRoman"/>
      <w:lvlText w:val="%6."/>
      <w:lvlJc w:val="right"/>
      <w:pPr>
        <w:ind w:left="4590" w:hanging="180"/>
      </w:pPr>
    </w:lvl>
    <w:lvl w:ilvl="6" w:tplc="140A000F">
      <w:start w:val="1"/>
      <w:numFmt w:val="decimal"/>
      <w:lvlText w:val="%7."/>
      <w:lvlJc w:val="left"/>
      <w:pPr>
        <w:ind w:left="5310" w:hanging="360"/>
      </w:pPr>
    </w:lvl>
    <w:lvl w:ilvl="7" w:tplc="140A0019">
      <w:start w:val="1"/>
      <w:numFmt w:val="lowerLetter"/>
      <w:lvlText w:val="%8."/>
      <w:lvlJc w:val="left"/>
      <w:pPr>
        <w:ind w:left="6030" w:hanging="360"/>
      </w:pPr>
    </w:lvl>
    <w:lvl w:ilvl="8" w:tplc="140A001B">
      <w:start w:val="1"/>
      <w:numFmt w:val="lowerRoman"/>
      <w:lvlText w:val="%9."/>
      <w:lvlJc w:val="right"/>
      <w:pPr>
        <w:ind w:left="6750" w:hanging="180"/>
      </w:pPr>
    </w:lvl>
  </w:abstractNum>
  <w:abstractNum w:abstractNumId="2" w15:restartNumberingAfterBreak="0">
    <w:nsid w:val="51FB4B94"/>
    <w:multiLevelType w:val="hybridMultilevel"/>
    <w:tmpl w:val="50624532"/>
    <w:lvl w:ilvl="0" w:tplc="4D24C7AC">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12"/>
    <w:rsid w:val="003A7E5E"/>
    <w:rsid w:val="003E7BBA"/>
    <w:rsid w:val="004A6812"/>
    <w:rsid w:val="008F5955"/>
    <w:rsid w:val="009430E6"/>
    <w:rsid w:val="009832C0"/>
    <w:rsid w:val="00FE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CDE2"/>
  <w15:docId w15:val="{E4D10640-5B70-4793-AD77-B3609A06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2"/>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A6812"/>
    <w:pPr>
      <w:jc w:val="center"/>
    </w:pPr>
    <w:rPr>
      <w:rFonts w:eastAsia="Times New Roman" w:cs="Times New Roman"/>
      <w:b/>
      <w:szCs w:val="20"/>
    </w:rPr>
  </w:style>
  <w:style w:type="character" w:customStyle="1" w:styleId="TtuloCar">
    <w:name w:val="Título Car"/>
    <w:basedOn w:val="Fuentedeprrafopredeter"/>
    <w:link w:val="Ttulo"/>
    <w:rsid w:val="004A6812"/>
    <w:rPr>
      <w:rFonts w:ascii="Verdana" w:eastAsia="Times New Roman" w:hAnsi="Verdana" w:cs="Times New Roman"/>
      <w:b/>
      <w:noProof/>
      <w:sz w:val="20"/>
      <w:szCs w:val="20"/>
      <w:lang w:val="es-ES_tradnl"/>
    </w:rPr>
  </w:style>
  <w:style w:type="paragraph" w:styleId="Encabezado">
    <w:name w:val="header"/>
    <w:basedOn w:val="Normal"/>
    <w:link w:val="EncabezadoCar"/>
    <w:uiPriority w:val="99"/>
    <w:unhideWhenUsed/>
    <w:rsid w:val="004A6812"/>
    <w:pPr>
      <w:tabs>
        <w:tab w:val="center" w:pos="4680"/>
        <w:tab w:val="right" w:pos="9360"/>
      </w:tabs>
    </w:pPr>
  </w:style>
  <w:style w:type="character" w:customStyle="1" w:styleId="EncabezadoCar">
    <w:name w:val="Encabezado Car"/>
    <w:basedOn w:val="Fuentedeprrafopredeter"/>
    <w:link w:val="Encabezado"/>
    <w:uiPriority w:val="99"/>
    <w:rsid w:val="004A6812"/>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4A6812"/>
    <w:pPr>
      <w:tabs>
        <w:tab w:val="center" w:pos="4680"/>
        <w:tab w:val="right" w:pos="9360"/>
      </w:tabs>
    </w:pPr>
  </w:style>
  <w:style w:type="character" w:customStyle="1" w:styleId="PiedepginaCar">
    <w:name w:val="Pie de página Car"/>
    <w:basedOn w:val="Fuentedeprrafopredeter"/>
    <w:link w:val="Piedepgina"/>
    <w:uiPriority w:val="99"/>
    <w:rsid w:val="004A6812"/>
    <w:rPr>
      <w:rFonts w:ascii="Verdana" w:eastAsia="Batang" w:hAnsi="Verdana" w:cs="Times"/>
      <w:noProof/>
      <w:sz w:val="20"/>
      <w:szCs w:val="24"/>
      <w:lang w:val="es-ES_tradnl"/>
    </w:rPr>
  </w:style>
  <w:style w:type="paragraph" w:styleId="Prrafodelista">
    <w:name w:val="List Paragraph"/>
    <w:aliases w:val="Footnote,List Paragraph1,Colorful List - Accent 11,Párrafo de lista1,List Paragraph2"/>
    <w:basedOn w:val="Normal"/>
    <w:link w:val="PrrafodelistaCar"/>
    <w:uiPriority w:val="99"/>
    <w:qFormat/>
    <w:rsid w:val="004A6812"/>
    <w:pPr>
      <w:ind w:left="720"/>
      <w:contextualSpacing/>
    </w:pPr>
  </w:style>
  <w:style w:type="character" w:customStyle="1" w:styleId="PrrafodelistaCar">
    <w:name w:val="Párrafo de lista Car"/>
    <w:aliases w:val="Footnote Car,List Paragraph1 Car,Colorful List - Accent 11 Car,Párrafo de lista1 Car,List Paragraph2 Car"/>
    <w:link w:val="Prrafodelista"/>
    <w:uiPriority w:val="99"/>
    <w:locked/>
    <w:rsid w:val="00FE39C0"/>
    <w:rPr>
      <w:rFonts w:ascii="Verdana" w:eastAsia="Batang" w:hAnsi="Verdana" w:cs="Times"/>
      <w:noProof/>
      <w:sz w:val="20"/>
      <w:szCs w:val="24"/>
      <w:lang w:val="es-ES_tradnl"/>
    </w:rPr>
  </w:style>
  <w:style w:type="paragraph" w:styleId="Textoindependiente">
    <w:name w:val="Body Text"/>
    <w:basedOn w:val="Normal"/>
    <w:link w:val="TextoindependienteCar"/>
    <w:uiPriority w:val="1"/>
    <w:qFormat/>
    <w:rsid w:val="008F5955"/>
    <w:pPr>
      <w:widowControl w:val="0"/>
      <w:autoSpaceDE w:val="0"/>
      <w:autoSpaceDN w:val="0"/>
      <w:jc w:val="left"/>
    </w:pPr>
    <w:rPr>
      <w:rFonts w:eastAsia="Verdana" w:cs="Verdana"/>
      <w:noProof w:val="0"/>
      <w:szCs w:val="20"/>
      <w:lang w:val="en-US"/>
    </w:rPr>
  </w:style>
  <w:style w:type="character" w:customStyle="1" w:styleId="TextoindependienteCar">
    <w:name w:val="Texto independiente Car"/>
    <w:basedOn w:val="Fuentedeprrafopredeter"/>
    <w:link w:val="Textoindependiente"/>
    <w:uiPriority w:val="1"/>
    <w:rsid w:val="008F5955"/>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263</Words>
  <Characters>1373</Characters>
  <Application>Microsoft Office Word</Application>
  <DocSecurity>0</DocSecurity>
  <Lines>137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Gloriana von Herold</cp:lastModifiedBy>
  <cp:revision>4</cp:revision>
  <dcterms:created xsi:type="dcterms:W3CDTF">2016-11-01T00:02:00Z</dcterms:created>
  <dcterms:modified xsi:type="dcterms:W3CDTF">2021-03-23T17:04:00Z</dcterms:modified>
</cp:coreProperties>
</file>