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4AF75D08" w:rsidR="00214AB7" w:rsidRPr="00EA0D60" w:rsidRDefault="009A15FD" w:rsidP="00214AB7">
      <w:pPr>
        <w:jc w:val="center"/>
      </w:pPr>
      <w:r w:rsidRPr="009A15FD">
        <w:rPr>
          <w:b/>
          <w:iCs/>
          <w:sz w:val="20"/>
          <w:szCs w:val="20"/>
          <w:u w:val="single"/>
          <w:lang w:val="es-CR"/>
        </w:rPr>
        <w:t xml:space="preserve">Leguizamón </w:t>
      </w:r>
      <w:proofErr w:type="spellStart"/>
      <w:r w:rsidRPr="009A15FD">
        <w:rPr>
          <w:b/>
          <w:iCs/>
          <w:sz w:val="20"/>
          <w:szCs w:val="20"/>
          <w:u w:val="single"/>
          <w:lang w:val="es-CR"/>
        </w:rPr>
        <w:t>Zaván</w:t>
      </w:r>
      <w:proofErr w:type="spellEnd"/>
      <w:r w:rsidRPr="009A15FD">
        <w:rPr>
          <w:b/>
          <w:iCs/>
          <w:sz w:val="20"/>
          <w:szCs w:val="20"/>
          <w:u w:val="single"/>
          <w:lang w:val="es-CR"/>
        </w:rPr>
        <w:t xml:space="preserve"> y otros Vs. Paraguay</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1CA3834B" w:rsidR="00484D15" w:rsidRDefault="00484D15" w:rsidP="00097803">
      <w:pPr>
        <w:jc w:val="both"/>
        <w:rPr>
          <w:sz w:val="20"/>
          <w:szCs w:val="20"/>
        </w:rPr>
      </w:pPr>
    </w:p>
    <w:p w14:paraId="47F09BE1" w14:textId="77777777" w:rsidR="00F243DB" w:rsidRDefault="00F243DB" w:rsidP="00097803">
      <w:pPr>
        <w:jc w:val="both"/>
        <w:rPr>
          <w:sz w:val="20"/>
          <w:szCs w:val="20"/>
        </w:rPr>
      </w:pPr>
    </w:p>
    <w:p w14:paraId="08427AF9" w14:textId="3288BF55" w:rsidR="009A15FD" w:rsidRDefault="009A15FD" w:rsidP="00D045E9">
      <w:pPr>
        <w:jc w:val="both"/>
        <w:rPr>
          <w:sz w:val="20"/>
          <w:szCs w:val="32"/>
        </w:rPr>
      </w:pPr>
      <w:r>
        <w:rPr>
          <w:sz w:val="20"/>
          <w:szCs w:val="32"/>
        </w:rPr>
        <w:t>1</w:t>
      </w:r>
      <w:r w:rsidRPr="009A15FD">
        <w:rPr>
          <w:sz w:val="20"/>
          <w:szCs w:val="32"/>
        </w:rPr>
        <w:t xml:space="preserve">. </w:t>
      </w:r>
      <w:r>
        <w:rPr>
          <w:sz w:val="20"/>
          <w:szCs w:val="32"/>
        </w:rPr>
        <w:tab/>
      </w:r>
      <w:r w:rsidRPr="009A15FD">
        <w:rPr>
          <w:sz w:val="20"/>
          <w:szCs w:val="32"/>
        </w:rPr>
        <w:t xml:space="preserve">El Estado realizará las publicaciones indicadas en los párrafos 107 y 108 de la Sentencia. </w:t>
      </w:r>
    </w:p>
    <w:p w14:paraId="7D8A9515" w14:textId="77777777" w:rsidR="009A15FD" w:rsidRDefault="009A15FD" w:rsidP="00D045E9">
      <w:pPr>
        <w:jc w:val="both"/>
        <w:rPr>
          <w:sz w:val="20"/>
          <w:szCs w:val="32"/>
        </w:rPr>
      </w:pPr>
    </w:p>
    <w:p w14:paraId="600DC582" w14:textId="2BF64C78" w:rsidR="009A15FD" w:rsidRDefault="009A15FD" w:rsidP="00D045E9">
      <w:pPr>
        <w:jc w:val="both"/>
        <w:rPr>
          <w:sz w:val="20"/>
          <w:szCs w:val="32"/>
        </w:rPr>
      </w:pPr>
      <w:r>
        <w:rPr>
          <w:sz w:val="20"/>
          <w:szCs w:val="32"/>
        </w:rPr>
        <w:t>2</w:t>
      </w:r>
      <w:r w:rsidRPr="009A15FD">
        <w:rPr>
          <w:sz w:val="20"/>
          <w:szCs w:val="32"/>
        </w:rPr>
        <w:t xml:space="preserve">. </w:t>
      </w:r>
      <w:r>
        <w:rPr>
          <w:sz w:val="20"/>
          <w:szCs w:val="32"/>
        </w:rPr>
        <w:tab/>
      </w:r>
      <w:r w:rsidRPr="009A15FD">
        <w:rPr>
          <w:sz w:val="20"/>
          <w:szCs w:val="32"/>
        </w:rPr>
        <w:t xml:space="preserve">El Estado realizará un acto público de reconocimiento de responsabilidad internacional, en los términos de los párrafos 102 y 103 de </w:t>
      </w:r>
      <w:r>
        <w:rPr>
          <w:sz w:val="20"/>
          <w:szCs w:val="32"/>
        </w:rPr>
        <w:t>la</w:t>
      </w:r>
      <w:r w:rsidRPr="009A15FD">
        <w:rPr>
          <w:sz w:val="20"/>
          <w:szCs w:val="32"/>
        </w:rPr>
        <w:t xml:space="preserve"> Sentencia. </w:t>
      </w:r>
    </w:p>
    <w:p w14:paraId="53288649" w14:textId="77777777" w:rsidR="009A15FD" w:rsidRDefault="009A15FD" w:rsidP="00D045E9">
      <w:pPr>
        <w:jc w:val="both"/>
        <w:rPr>
          <w:sz w:val="20"/>
          <w:szCs w:val="32"/>
        </w:rPr>
      </w:pPr>
    </w:p>
    <w:p w14:paraId="2C997AA7" w14:textId="56F7A196" w:rsidR="009A15FD" w:rsidRDefault="009A15FD" w:rsidP="00D045E9">
      <w:pPr>
        <w:jc w:val="both"/>
        <w:rPr>
          <w:sz w:val="20"/>
          <w:szCs w:val="32"/>
        </w:rPr>
      </w:pPr>
      <w:r>
        <w:rPr>
          <w:sz w:val="20"/>
          <w:szCs w:val="32"/>
        </w:rPr>
        <w:t>3</w:t>
      </w:r>
      <w:r w:rsidRPr="009A15FD">
        <w:rPr>
          <w:sz w:val="20"/>
          <w:szCs w:val="32"/>
        </w:rPr>
        <w:t xml:space="preserve">. </w:t>
      </w:r>
      <w:r>
        <w:rPr>
          <w:sz w:val="20"/>
          <w:szCs w:val="32"/>
        </w:rPr>
        <w:tab/>
      </w:r>
      <w:r w:rsidRPr="009A15FD">
        <w:rPr>
          <w:sz w:val="20"/>
          <w:szCs w:val="32"/>
        </w:rPr>
        <w:t xml:space="preserve">El Estado reinstalará el premio nacional para periodistas “Santiago Leguizamón”, el cual deberá otorgarse de forma anual, por al menos cinco años, en los términos del párrafo 113 de </w:t>
      </w:r>
      <w:r>
        <w:rPr>
          <w:sz w:val="20"/>
          <w:szCs w:val="32"/>
        </w:rPr>
        <w:t>la</w:t>
      </w:r>
      <w:r w:rsidRPr="009A15FD">
        <w:rPr>
          <w:sz w:val="20"/>
          <w:szCs w:val="32"/>
        </w:rPr>
        <w:t xml:space="preserve"> Sentencia. </w:t>
      </w:r>
    </w:p>
    <w:p w14:paraId="6EE6ABB8" w14:textId="77777777" w:rsidR="009A15FD" w:rsidRDefault="009A15FD" w:rsidP="00D045E9">
      <w:pPr>
        <w:jc w:val="both"/>
        <w:rPr>
          <w:sz w:val="20"/>
          <w:szCs w:val="32"/>
        </w:rPr>
      </w:pPr>
    </w:p>
    <w:p w14:paraId="6EDA577E" w14:textId="3D20CC77" w:rsidR="009A15FD" w:rsidRDefault="009A15FD" w:rsidP="00D045E9">
      <w:pPr>
        <w:jc w:val="both"/>
        <w:rPr>
          <w:sz w:val="20"/>
          <w:szCs w:val="32"/>
        </w:rPr>
      </w:pPr>
      <w:r>
        <w:rPr>
          <w:sz w:val="20"/>
          <w:szCs w:val="32"/>
        </w:rPr>
        <w:t>4</w:t>
      </w:r>
      <w:r w:rsidRPr="009A15FD">
        <w:rPr>
          <w:sz w:val="20"/>
          <w:szCs w:val="32"/>
        </w:rPr>
        <w:t>.</w:t>
      </w:r>
      <w:r>
        <w:rPr>
          <w:sz w:val="20"/>
          <w:szCs w:val="32"/>
        </w:rPr>
        <w:tab/>
      </w:r>
      <w:r w:rsidRPr="009A15FD">
        <w:rPr>
          <w:sz w:val="20"/>
          <w:szCs w:val="32"/>
        </w:rPr>
        <w:t xml:space="preserve"> El Estado tomará las medidas necesarias para la preservación de los lugares destinados a honrar la memoria del señor Santiago Leguizamón </w:t>
      </w:r>
      <w:proofErr w:type="spellStart"/>
      <w:r w:rsidRPr="009A15FD">
        <w:rPr>
          <w:sz w:val="20"/>
          <w:szCs w:val="32"/>
        </w:rPr>
        <w:t>Zaván</w:t>
      </w:r>
      <w:proofErr w:type="spellEnd"/>
      <w:r w:rsidRPr="009A15FD">
        <w:rPr>
          <w:sz w:val="20"/>
          <w:szCs w:val="32"/>
        </w:rPr>
        <w:t xml:space="preserve">. Para ello, deberá declarar el monolito ubicado en la ciudad de Asunción y la plaza ubicada en Pedro Juan Caballero como sitios de memoria, de acuerdo con lo establecido en la normativa interna y adoptar, en el plazo de un año, las medidas necesarias para la recuperación de estos lugares, con el objeto de que cumplan su función conmemorativa, en los términos del párrafo 117 de </w:t>
      </w:r>
      <w:r>
        <w:rPr>
          <w:sz w:val="20"/>
          <w:szCs w:val="32"/>
        </w:rPr>
        <w:t>la</w:t>
      </w:r>
      <w:r w:rsidRPr="009A15FD">
        <w:rPr>
          <w:sz w:val="20"/>
          <w:szCs w:val="32"/>
        </w:rPr>
        <w:t xml:space="preserve"> Sentencia. </w:t>
      </w:r>
    </w:p>
    <w:p w14:paraId="52751B91" w14:textId="77777777" w:rsidR="009A15FD" w:rsidRDefault="009A15FD" w:rsidP="00D045E9">
      <w:pPr>
        <w:jc w:val="both"/>
        <w:rPr>
          <w:sz w:val="20"/>
          <w:szCs w:val="32"/>
        </w:rPr>
      </w:pPr>
    </w:p>
    <w:p w14:paraId="4FCA244B" w14:textId="37E47D5A" w:rsidR="009A15FD" w:rsidRDefault="009A15FD" w:rsidP="00D045E9">
      <w:pPr>
        <w:jc w:val="both"/>
        <w:rPr>
          <w:sz w:val="20"/>
          <w:szCs w:val="32"/>
        </w:rPr>
      </w:pPr>
      <w:r>
        <w:rPr>
          <w:sz w:val="20"/>
          <w:szCs w:val="32"/>
        </w:rPr>
        <w:t>5</w:t>
      </w:r>
      <w:r w:rsidRPr="009A15FD">
        <w:rPr>
          <w:sz w:val="20"/>
          <w:szCs w:val="32"/>
        </w:rPr>
        <w:t xml:space="preserve">. </w:t>
      </w:r>
      <w:r>
        <w:rPr>
          <w:sz w:val="20"/>
          <w:szCs w:val="32"/>
        </w:rPr>
        <w:tab/>
      </w:r>
      <w:r w:rsidRPr="009A15FD">
        <w:rPr>
          <w:sz w:val="20"/>
          <w:szCs w:val="32"/>
        </w:rPr>
        <w:t xml:space="preserve">El Estado asignará un presupuesto anual suficiente que garantice el adecuado funcionamiento de la Mesa para la Seguridad de Periodistas del Paraguay, en los términos del párrafo 122 de </w:t>
      </w:r>
      <w:r>
        <w:rPr>
          <w:sz w:val="20"/>
          <w:szCs w:val="32"/>
        </w:rPr>
        <w:t>la</w:t>
      </w:r>
      <w:r w:rsidRPr="009A15FD">
        <w:rPr>
          <w:sz w:val="20"/>
          <w:szCs w:val="32"/>
        </w:rPr>
        <w:t xml:space="preserve"> Sentencia. </w:t>
      </w:r>
    </w:p>
    <w:p w14:paraId="47507C76" w14:textId="77777777" w:rsidR="009A15FD" w:rsidRDefault="009A15FD" w:rsidP="00D045E9">
      <w:pPr>
        <w:jc w:val="both"/>
        <w:rPr>
          <w:sz w:val="20"/>
          <w:szCs w:val="32"/>
        </w:rPr>
      </w:pPr>
    </w:p>
    <w:p w14:paraId="6C8E4584" w14:textId="5C748F4E" w:rsidR="009A15FD" w:rsidRDefault="009A15FD" w:rsidP="00D045E9">
      <w:pPr>
        <w:jc w:val="both"/>
        <w:rPr>
          <w:sz w:val="20"/>
          <w:szCs w:val="32"/>
        </w:rPr>
      </w:pPr>
      <w:r>
        <w:rPr>
          <w:sz w:val="20"/>
          <w:szCs w:val="32"/>
        </w:rPr>
        <w:t>6</w:t>
      </w:r>
      <w:r w:rsidRPr="009A15FD">
        <w:rPr>
          <w:sz w:val="20"/>
          <w:szCs w:val="32"/>
        </w:rPr>
        <w:t xml:space="preserve">. </w:t>
      </w:r>
      <w:r>
        <w:rPr>
          <w:sz w:val="20"/>
          <w:szCs w:val="32"/>
        </w:rPr>
        <w:tab/>
      </w:r>
      <w:r w:rsidRPr="009A15FD">
        <w:rPr>
          <w:sz w:val="20"/>
          <w:szCs w:val="32"/>
        </w:rPr>
        <w:t xml:space="preserve">El Estado creará un Fondo, en el marco de la Mesa para la Seguridad de Periodistas del Paraguay, destinado a la financiación de programas dirigidos a la prevención, protección y asistencia a periodistas víctimas de violencia basada en el ejercicio de su profesión, así como a la adopción de medidas eficaces de protección para garantizar la seguridad de las y los periodistas que se encuentran sometidos a un riesgo especial por el ejercicio de su profesión, en los términos del párrafo 122 de </w:t>
      </w:r>
      <w:r>
        <w:rPr>
          <w:sz w:val="20"/>
          <w:szCs w:val="32"/>
        </w:rPr>
        <w:t>la</w:t>
      </w:r>
      <w:r w:rsidRPr="009A15FD">
        <w:rPr>
          <w:sz w:val="20"/>
          <w:szCs w:val="32"/>
        </w:rPr>
        <w:t xml:space="preserve"> Sentencia. </w:t>
      </w:r>
    </w:p>
    <w:p w14:paraId="1208F406" w14:textId="77777777" w:rsidR="009A15FD" w:rsidRDefault="009A15FD" w:rsidP="00D045E9">
      <w:pPr>
        <w:jc w:val="both"/>
        <w:rPr>
          <w:sz w:val="20"/>
          <w:szCs w:val="32"/>
        </w:rPr>
      </w:pPr>
    </w:p>
    <w:p w14:paraId="475C6C28" w14:textId="14EB78C4" w:rsidR="009A15FD" w:rsidRDefault="009A15FD" w:rsidP="00D045E9">
      <w:pPr>
        <w:jc w:val="both"/>
        <w:rPr>
          <w:sz w:val="20"/>
          <w:szCs w:val="32"/>
        </w:rPr>
      </w:pPr>
      <w:r>
        <w:rPr>
          <w:sz w:val="20"/>
          <w:szCs w:val="32"/>
        </w:rPr>
        <w:t>7</w:t>
      </w:r>
      <w:r w:rsidRPr="009A15FD">
        <w:rPr>
          <w:sz w:val="20"/>
          <w:szCs w:val="32"/>
        </w:rPr>
        <w:t xml:space="preserve">. </w:t>
      </w:r>
      <w:r>
        <w:rPr>
          <w:sz w:val="20"/>
          <w:szCs w:val="32"/>
        </w:rPr>
        <w:tab/>
      </w:r>
      <w:r w:rsidRPr="009A15FD">
        <w:rPr>
          <w:sz w:val="20"/>
          <w:szCs w:val="32"/>
        </w:rPr>
        <w:t xml:space="preserve">El Estado impulsará la aprobación de un proyecto de ley al que se refiere el párrafo 123 de la Sentencia. </w:t>
      </w:r>
    </w:p>
    <w:p w14:paraId="14F14AF2" w14:textId="77777777" w:rsidR="009A15FD" w:rsidRDefault="009A15FD" w:rsidP="00D045E9">
      <w:pPr>
        <w:jc w:val="both"/>
        <w:rPr>
          <w:sz w:val="20"/>
          <w:szCs w:val="32"/>
        </w:rPr>
      </w:pPr>
    </w:p>
    <w:p w14:paraId="0B7C64D0" w14:textId="7A8B5EF8" w:rsidR="009A15FD" w:rsidRDefault="009A15FD" w:rsidP="00D045E9">
      <w:pPr>
        <w:jc w:val="both"/>
        <w:rPr>
          <w:sz w:val="20"/>
          <w:szCs w:val="32"/>
        </w:rPr>
      </w:pPr>
      <w:r>
        <w:rPr>
          <w:sz w:val="20"/>
          <w:szCs w:val="32"/>
        </w:rPr>
        <w:t>8</w:t>
      </w:r>
      <w:r w:rsidRPr="009A15FD">
        <w:rPr>
          <w:sz w:val="20"/>
          <w:szCs w:val="32"/>
        </w:rPr>
        <w:t xml:space="preserve">. </w:t>
      </w:r>
      <w:r>
        <w:rPr>
          <w:sz w:val="20"/>
          <w:szCs w:val="32"/>
        </w:rPr>
        <w:tab/>
      </w:r>
      <w:r w:rsidRPr="009A15FD">
        <w:rPr>
          <w:sz w:val="20"/>
          <w:szCs w:val="32"/>
        </w:rPr>
        <w:t xml:space="preserve">El Estado remitirá a la Corte los informes periódicos que envía a los organismos especializados de la Organización de los Estados Americanos y de la Organización de las Naciones Unidas, relacionados con las medidas implementadas para la prevención y protección de las y los periodistas en Paraguay, en los términos del párrafo 124 de </w:t>
      </w:r>
      <w:r>
        <w:rPr>
          <w:sz w:val="20"/>
          <w:szCs w:val="32"/>
        </w:rPr>
        <w:t>la</w:t>
      </w:r>
      <w:r w:rsidRPr="009A15FD">
        <w:rPr>
          <w:sz w:val="20"/>
          <w:szCs w:val="32"/>
        </w:rPr>
        <w:t xml:space="preserve"> Sentencia. </w:t>
      </w:r>
    </w:p>
    <w:p w14:paraId="766B37B6" w14:textId="77777777" w:rsidR="009A15FD" w:rsidRDefault="009A15FD" w:rsidP="00D045E9">
      <w:pPr>
        <w:jc w:val="both"/>
        <w:rPr>
          <w:sz w:val="20"/>
          <w:szCs w:val="32"/>
        </w:rPr>
      </w:pPr>
    </w:p>
    <w:p w14:paraId="0FC1D77F" w14:textId="475CEBC2" w:rsidR="00D045E9" w:rsidRDefault="009A15FD" w:rsidP="00D045E9">
      <w:pPr>
        <w:jc w:val="both"/>
        <w:rPr>
          <w:sz w:val="20"/>
          <w:szCs w:val="32"/>
        </w:rPr>
      </w:pPr>
      <w:r>
        <w:rPr>
          <w:sz w:val="20"/>
          <w:szCs w:val="32"/>
        </w:rPr>
        <w:t>9.</w:t>
      </w:r>
      <w:r w:rsidRPr="009A15FD">
        <w:rPr>
          <w:sz w:val="20"/>
          <w:szCs w:val="32"/>
        </w:rPr>
        <w:t xml:space="preserve"> </w:t>
      </w:r>
      <w:r>
        <w:rPr>
          <w:sz w:val="20"/>
          <w:szCs w:val="32"/>
        </w:rPr>
        <w:tab/>
      </w:r>
      <w:r w:rsidRPr="009A15FD">
        <w:rPr>
          <w:sz w:val="20"/>
          <w:szCs w:val="32"/>
        </w:rPr>
        <w:t>El Estado pagará las cantidades fijadas en los párrafos 132, 133</w:t>
      </w:r>
      <w:r>
        <w:rPr>
          <w:sz w:val="20"/>
          <w:szCs w:val="32"/>
        </w:rPr>
        <w:t xml:space="preserve"> y</w:t>
      </w:r>
      <w:r w:rsidRPr="009A15FD">
        <w:rPr>
          <w:sz w:val="20"/>
          <w:szCs w:val="32"/>
        </w:rPr>
        <w:t xml:space="preserve"> 138 </w:t>
      </w:r>
      <w:r>
        <w:rPr>
          <w:sz w:val="20"/>
          <w:szCs w:val="32"/>
        </w:rPr>
        <w:t>de</w:t>
      </w:r>
      <w:r w:rsidRPr="009A15FD">
        <w:rPr>
          <w:sz w:val="20"/>
          <w:szCs w:val="32"/>
        </w:rPr>
        <w:t xml:space="preserve"> la Sentencia, por concepto de indemnizaciones por daños materiales e inmateriales, en los términos de los párrafos 144 a 149 de la Sentencia.</w:t>
      </w:r>
    </w:p>
    <w:p w14:paraId="0789A6E0" w14:textId="77777777" w:rsidR="009A15FD" w:rsidRDefault="009A15FD" w:rsidP="009A15FD">
      <w:pPr>
        <w:jc w:val="both"/>
        <w:rPr>
          <w:sz w:val="20"/>
          <w:szCs w:val="32"/>
        </w:rPr>
      </w:pPr>
    </w:p>
    <w:p w14:paraId="2CF6380D" w14:textId="29F1870A" w:rsidR="009A15FD" w:rsidRPr="009A15FD" w:rsidRDefault="009A15FD" w:rsidP="009A15FD">
      <w:pPr>
        <w:jc w:val="both"/>
        <w:rPr>
          <w:rFonts w:eastAsia="Cambria" w:cs="Times New Roman"/>
          <w:bCs/>
          <w:sz w:val="32"/>
          <w:lang w:val="es-ES"/>
        </w:rPr>
      </w:pPr>
      <w:r w:rsidRPr="009A15FD">
        <w:rPr>
          <w:sz w:val="20"/>
          <w:szCs w:val="32"/>
        </w:rPr>
        <w:t>1</w:t>
      </w:r>
      <w:r>
        <w:rPr>
          <w:sz w:val="20"/>
          <w:szCs w:val="32"/>
        </w:rPr>
        <w:t>0</w:t>
      </w:r>
      <w:r w:rsidRPr="009A15FD">
        <w:rPr>
          <w:sz w:val="20"/>
          <w:szCs w:val="32"/>
        </w:rPr>
        <w:t xml:space="preserve">. El Estado pagará la cantidad fijada en </w:t>
      </w:r>
      <w:r>
        <w:rPr>
          <w:sz w:val="20"/>
          <w:szCs w:val="32"/>
        </w:rPr>
        <w:t>el</w:t>
      </w:r>
      <w:r w:rsidRPr="009A15FD">
        <w:rPr>
          <w:sz w:val="20"/>
          <w:szCs w:val="32"/>
        </w:rPr>
        <w:t xml:space="preserve"> párrafo 143 de la Sentencia, por concepto </w:t>
      </w:r>
      <w:r>
        <w:rPr>
          <w:sz w:val="20"/>
          <w:szCs w:val="32"/>
        </w:rPr>
        <w:t>del</w:t>
      </w:r>
      <w:r w:rsidRPr="009A15FD">
        <w:rPr>
          <w:sz w:val="20"/>
          <w:szCs w:val="32"/>
        </w:rPr>
        <w:t xml:space="preserve"> reintegro de costas y gastos, en los términos de los párrafos 144 a 149 de la Sentencia.</w:t>
      </w:r>
    </w:p>
    <w:p w14:paraId="2F1AA9F0" w14:textId="77777777" w:rsidR="009A15FD" w:rsidRPr="009A15FD" w:rsidRDefault="009A15FD" w:rsidP="00D045E9">
      <w:pPr>
        <w:jc w:val="both"/>
        <w:rPr>
          <w:rFonts w:eastAsia="Cambria" w:cs="Times New Roman"/>
          <w:bCs/>
          <w:sz w:val="32"/>
          <w:lang w:val="es-ES"/>
        </w:rPr>
      </w:pPr>
    </w:p>
    <w:sectPr w:rsidR="009A15FD" w:rsidRPr="009A15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A50D" w14:textId="77777777" w:rsidR="00F97B7C" w:rsidRDefault="00F97B7C" w:rsidP="009F7EF4">
      <w:r>
        <w:separator/>
      </w:r>
    </w:p>
  </w:endnote>
  <w:endnote w:type="continuationSeparator" w:id="0">
    <w:p w14:paraId="63EF3017" w14:textId="77777777" w:rsidR="00F97B7C" w:rsidRDefault="00F97B7C"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0B78" w14:textId="77777777" w:rsidR="00F97B7C" w:rsidRDefault="00F97B7C" w:rsidP="009F7EF4">
      <w:r>
        <w:separator/>
      </w:r>
    </w:p>
  </w:footnote>
  <w:footnote w:type="continuationSeparator" w:id="0">
    <w:p w14:paraId="587E199F" w14:textId="77777777" w:rsidR="00F97B7C" w:rsidRDefault="00F97B7C"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25CD3"/>
    <w:rsid w:val="00077037"/>
    <w:rsid w:val="000930F6"/>
    <w:rsid w:val="0009537E"/>
    <w:rsid w:val="00097803"/>
    <w:rsid w:val="00101CC6"/>
    <w:rsid w:val="001426AA"/>
    <w:rsid w:val="001729AE"/>
    <w:rsid w:val="001F3394"/>
    <w:rsid w:val="00206FE0"/>
    <w:rsid w:val="00214AB7"/>
    <w:rsid w:val="00291327"/>
    <w:rsid w:val="00296F77"/>
    <w:rsid w:val="002B3295"/>
    <w:rsid w:val="002E376C"/>
    <w:rsid w:val="003A7E5E"/>
    <w:rsid w:val="003C561A"/>
    <w:rsid w:val="003E2FF4"/>
    <w:rsid w:val="00467507"/>
    <w:rsid w:val="00474D04"/>
    <w:rsid w:val="00476F6E"/>
    <w:rsid w:val="00484D15"/>
    <w:rsid w:val="004D4FC6"/>
    <w:rsid w:val="005154EE"/>
    <w:rsid w:val="005A203D"/>
    <w:rsid w:val="005D1A85"/>
    <w:rsid w:val="006022F0"/>
    <w:rsid w:val="00617B3E"/>
    <w:rsid w:val="006A777A"/>
    <w:rsid w:val="006C38A6"/>
    <w:rsid w:val="006E15DE"/>
    <w:rsid w:val="00792165"/>
    <w:rsid w:val="00834F1A"/>
    <w:rsid w:val="00867C2F"/>
    <w:rsid w:val="00876E46"/>
    <w:rsid w:val="00926FFB"/>
    <w:rsid w:val="00955D28"/>
    <w:rsid w:val="009832C0"/>
    <w:rsid w:val="009A15FD"/>
    <w:rsid w:val="009D22BE"/>
    <w:rsid w:val="009D6A26"/>
    <w:rsid w:val="009F7EF4"/>
    <w:rsid w:val="00A1649A"/>
    <w:rsid w:val="00A721F8"/>
    <w:rsid w:val="00AA2296"/>
    <w:rsid w:val="00AA6B2F"/>
    <w:rsid w:val="00AE0035"/>
    <w:rsid w:val="00B005CF"/>
    <w:rsid w:val="00B03BA7"/>
    <w:rsid w:val="00B11B9B"/>
    <w:rsid w:val="00B32A37"/>
    <w:rsid w:val="00B33305"/>
    <w:rsid w:val="00BA6BA9"/>
    <w:rsid w:val="00BC5824"/>
    <w:rsid w:val="00BE56CA"/>
    <w:rsid w:val="00BF3ECD"/>
    <w:rsid w:val="00C04CCC"/>
    <w:rsid w:val="00C4747D"/>
    <w:rsid w:val="00C66067"/>
    <w:rsid w:val="00C807CF"/>
    <w:rsid w:val="00CA1142"/>
    <w:rsid w:val="00CD14E6"/>
    <w:rsid w:val="00CF3296"/>
    <w:rsid w:val="00CF5AE9"/>
    <w:rsid w:val="00D042E3"/>
    <w:rsid w:val="00D045E9"/>
    <w:rsid w:val="00D26E80"/>
    <w:rsid w:val="00D3440D"/>
    <w:rsid w:val="00D843BF"/>
    <w:rsid w:val="00E42392"/>
    <w:rsid w:val="00E45105"/>
    <w:rsid w:val="00E50670"/>
    <w:rsid w:val="00E507C2"/>
    <w:rsid w:val="00E5304C"/>
    <w:rsid w:val="00E85D9E"/>
    <w:rsid w:val="00ED29C6"/>
    <w:rsid w:val="00F243DB"/>
    <w:rsid w:val="00F50093"/>
    <w:rsid w:val="00F97B7C"/>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409</Words>
  <Characters>2255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31</cp:revision>
  <cp:lastPrinted>2022-12-20T16:37:00Z</cp:lastPrinted>
  <dcterms:created xsi:type="dcterms:W3CDTF">2018-07-09T19:23:00Z</dcterms:created>
  <dcterms:modified xsi:type="dcterms:W3CDTF">2022-12-20T16:43:00Z</dcterms:modified>
</cp:coreProperties>
</file>