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F7F11" w14:textId="77777777" w:rsidR="00F716B2" w:rsidRDefault="005677D8" w:rsidP="00C051DF">
      <w:pPr>
        <w:jc w:val="center"/>
        <w:rPr>
          <w:rFonts w:eastAsia="Times New Roman" w:cs="Times New Roman"/>
          <w:b/>
          <w:bCs/>
          <w:color w:val="000000"/>
          <w:sz w:val="20"/>
          <w:szCs w:val="20"/>
          <w:u w:val="single"/>
          <w:lang w:val="es-ES" w:eastAsia="en-GB"/>
        </w:rPr>
      </w:pPr>
      <w:r w:rsidRPr="00F716B2">
        <w:rPr>
          <w:rFonts w:eastAsia="Times New Roman" w:cs="Times New Roman"/>
          <w:b/>
          <w:bCs/>
          <w:color w:val="000000"/>
          <w:sz w:val="20"/>
          <w:szCs w:val="20"/>
          <w:u w:val="single"/>
          <w:lang w:val="es-ES" w:eastAsia="en-GB"/>
        </w:rPr>
        <w:t xml:space="preserve">Caso </w:t>
      </w:r>
      <w:r w:rsidR="00DF3522" w:rsidRPr="00F716B2">
        <w:rPr>
          <w:rFonts w:eastAsia="Times New Roman" w:cs="Times New Roman"/>
          <w:b/>
          <w:bCs/>
          <w:color w:val="000000"/>
          <w:sz w:val="20"/>
          <w:szCs w:val="20"/>
          <w:u w:val="single"/>
          <w:lang w:val="es-ES" w:eastAsia="en-GB"/>
        </w:rPr>
        <w:t xml:space="preserve">Comunidad Indígena </w:t>
      </w:r>
      <w:proofErr w:type="spellStart"/>
      <w:r w:rsidR="00DF3522" w:rsidRPr="00F716B2">
        <w:rPr>
          <w:rFonts w:eastAsia="Times New Roman" w:cs="Times New Roman"/>
          <w:b/>
          <w:bCs/>
          <w:color w:val="000000"/>
          <w:sz w:val="20"/>
          <w:szCs w:val="20"/>
          <w:u w:val="single"/>
          <w:lang w:val="es-ES" w:eastAsia="en-GB"/>
        </w:rPr>
        <w:t>Xákmok</w:t>
      </w:r>
      <w:proofErr w:type="spellEnd"/>
      <w:r w:rsidR="00DF3522" w:rsidRPr="00F716B2">
        <w:rPr>
          <w:rFonts w:eastAsia="Times New Roman" w:cs="Times New Roman"/>
          <w:b/>
          <w:bCs/>
          <w:color w:val="000000"/>
          <w:sz w:val="20"/>
          <w:szCs w:val="20"/>
          <w:u w:val="single"/>
          <w:lang w:val="es-ES" w:eastAsia="en-GB"/>
        </w:rPr>
        <w:t xml:space="preserve"> </w:t>
      </w:r>
      <w:proofErr w:type="spellStart"/>
      <w:r w:rsidR="00DF3522" w:rsidRPr="00F716B2">
        <w:rPr>
          <w:rFonts w:eastAsia="Times New Roman" w:cs="Times New Roman"/>
          <w:b/>
          <w:bCs/>
          <w:color w:val="000000"/>
          <w:sz w:val="20"/>
          <w:szCs w:val="20"/>
          <w:u w:val="single"/>
          <w:lang w:val="es-ES" w:eastAsia="en-GB"/>
        </w:rPr>
        <w:t>Kásek</w:t>
      </w:r>
      <w:proofErr w:type="spellEnd"/>
      <w:r w:rsidR="004D779B">
        <w:rPr>
          <w:rFonts w:eastAsia="Times New Roman" w:cs="Times New Roman"/>
          <w:b/>
          <w:bCs/>
          <w:i/>
          <w:iCs/>
          <w:color w:val="000000"/>
          <w:sz w:val="20"/>
          <w:szCs w:val="20"/>
          <w:u w:val="single"/>
          <w:lang w:val="es-ES" w:eastAsia="en-GB"/>
        </w:rPr>
        <w:t xml:space="preserve"> Vs. </w:t>
      </w:r>
      <w:r w:rsidR="004D779B" w:rsidRPr="00F716B2">
        <w:rPr>
          <w:rFonts w:eastAsia="Times New Roman" w:cs="Times New Roman"/>
          <w:b/>
          <w:bCs/>
          <w:color w:val="000000"/>
          <w:sz w:val="20"/>
          <w:szCs w:val="20"/>
          <w:u w:val="single"/>
          <w:lang w:val="es-ES" w:eastAsia="en-GB"/>
        </w:rPr>
        <w:t>Paraguay</w:t>
      </w:r>
      <w:r w:rsidR="00A24D2C" w:rsidRPr="00A24D2C">
        <w:rPr>
          <w:rFonts w:eastAsia="Times New Roman" w:cs="Times New Roman"/>
          <w:b/>
          <w:bCs/>
          <w:color w:val="000000"/>
          <w:sz w:val="20"/>
          <w:szCs w:val="20"/>
          <w:u w:val="single"/>
          <w:lang w:val="es-ES" w:eastAsia="en-GB"/>
        </w:rPr>
        <w:t xml:space="preserve">: </w:t>
      </w:r>
    </w:p>
    <w:p w14:paraId="76ACC509" w14:textId="2B0571E7" w:rsidR="00C051DF" w:rsidRPr="00C051DF" w:rsidRDefault="00A24D2C" w:rsidP="00C051DF">
      <w:pPr>
        <w:jc w:val="center"/>
        <w:rPr>
          <w:rFonts w:ascii="Times New Roman" w:eastAsia="Times New Roman" w:hAnsi="Times New Roman" w:cs="Times New Roman"/>
          <w:sz w:val="24"/>
          <w:lang w:val="es-ES" w:eastAsia="en-GB"/>
        </w:rPr>
      </w:pPr>
      <w:r w:rsidRPr="00A24D2C">
        <w:rPr>
          <w:rFonts w:eastAsia="Times New Roman" w:cs="Times New Roman"/>
          <w:b/>
          <w:bCs/>
          <w:color w:val="000000"/>
          <w:sz w:val="20"/>
          <w:szCs w:val="20"/>
          <w:u w:val="single"/>
          <w:lang w:val="es-ES" w:eastAsia="en-GB"/>
        </w:rPr>
        <w:t>reparaciones declaradas cumplidas</w:t>
      </w:r>
      <w:r w:rsidR="005677D8" w:rsidRPr="005677D8">
        <w:rPr>
          <w:rFonts w:ascii="Times New Roman" w:eastAsia="Times New Roman" w:hAnsi="Times New Roman" w:cs="Times New Roman"/>
          <w:sz w:val="24"/>
          <w:lang w:val="es-ES" w:eastAsia="en-GB"/>
        </w:rPr>
        <w:br/>
      </w:r>
    </w:p>
    <w:p w14:paraId="503C2671" w14:textId="688C7B9D" w:rsidR="00FE4470" w:rsidRDefault="00FE4470" w:rsidP="00FE4470">
      <w:pPr>
        <w:pStyle w:val="Prrafodelista"/>
        <w:numPr>
          <w:ilvl w:val="0"/>
          <w:numId w:val="24"/>
        </w:numPr>
        <w:ind w:left="0" w:firstLine="0"/>
        <w:jc w:val="both"/>
        <w:textAlignment w:val="baseline"/>
        <w:rPr>
          <w:sz w:val="20"/>
          <w:szCs w:val="20"/>
        </w:rPr>
      </w:pPr>
      <w:r w:rsidRPr="00FE4470">
        <w:rPr>
          <w:sz w:val="20"/>
          <w:szCs w:val="20"/>
        </w:rPr>
        <w:t xml:space="preserve">Remover los obstáculos formales para la titulación de las 1.500 hectáreas en “25 de Febrero” a favor de la Comunidad </w:t>
      </w:r>
      <w:proofErr w:type="spellStart"/>
      <w:r w:rsidRPr="00FE4470">
        <w:rPr>
          <w:sz w:val="20"/>
          <w:szCs w:val="20"/>
        </w:rPr>
        <w:t>Xákmok</w:t>
      </w:r>
      <w:proofErr w:type="spellEnd"/>
      <w:r w:rsidRPr="00FE4470">
        <w:rPr>
          <w:sz w:val="20"/>
          <w:szCs w:val="20"/>
        </w:rPr>
        <w:t xml:space="preserve"> </w:t>
      </w:r>
      <w:proofErr w:type="spellStart"/>
      <w:r w:rsidRPr="00FE4470">
        <w:rPr>
          <w:sz w:val="20"/>
          <w:szCs w:val="20"/>
        </w:rPr>
        <w:t>Kásek</w:t>
      </w:r>
      <w:proofErr w:type="spellEnd"/>
      <w:r w:rsidRPr="00FE4470">
        <w:rPr>
          <w:sz w:val="20"/>
          <w:szCs w:val="20"/>
        </w:rPr>
        <w:t xml:space="preserve">, de conformidad con lo dispuesto en el párrafo 293 de </w:t>
      </w:r>
      <w:r w:rsidR="00372784">
        <w:rPr>
          <w:sz w:val="20"/>
          <w:szCs w:val="20"/>
        </w:rPr>
        <w:t>la</w:t>
      </w:r>
      <w:r w:rsidRPr="00FE4470">
        <w:rPr>
          <w:sz w:val="20"/>
          <w:szCs w:val="20"/>
        </w:rPr>
        <w:t xml:space="preserve"> Sentencia. </w:t>
      </w:r>
    </w:p>
    <w:p w14:paraId="6FC7C703" w14:textId="77777777" w:rsidR="00FE4470" w:rsidRPr="00FE4470" w:rsidRDefault="00FE4470" w:rsidP="00FE4470">
      <w:pPr>
        <w:pStyle w:val="Prrafodelista"/>
        <w:ind w:left="0"/>
        <w:jc w:val="both"/>
        <w:textAlignment w:val="baseline"/>
        <w:rPr>
          <w:sz w:val="20"/>
          <w:szCs w:val="20"/>
        </w:rPr>
      </w:pPr>
    </w:p>
    <w:p w14:paraId="2A8D95C4" w14:textId="24876AB9" w:rsidR="00E3510D" w:rsidRDefault="00FE4470" w:rsidP="00FE4470">
      <w:pPr>
        <w:pStyle w:val="Prrafodelista"/>
        <w:numPr>
          <w:ilvl w:val="0"/>
          <w:numId w:val="24"/>
        </w:numPr>
        <w:ind w:left="0" w:firstLine="0"/>
        <w:jc w:val="both"/>
        <w:textAlignment w:val="baseline"/>
        <w:rPr>
          <w:sz w:val="20"/>
          <w:szCs w:val="20"/>
        </w:rPr>
      </w:pPr>
      <w:r w:rsidRPr="00FE4470">
        <w:rPr>
          <w:sz w:val="20"/>
          <w:szCs w:val="20"/>
        </w:rPr>
        <w:t xml:space="preserve">Titular, dentro del plazo de un año a partir de la notificación de esta Sentencia, las 1.500 hectáreas en “25 de Febrero” a favor de la Comunidad </w:t>
      </w:r>
      <w:proofErr w:type="spellStart"/>
      <w:r w:rsidRPr="00FE4470">
        <w:rPr>
          <w:sz w:val="20"/>
          <w:szCs w:val="20"/>
        </w:rPr>
        <w:t>Xákmok</w:t>
      </w:r>
      <w:proofErr w:type="spellEnd"/>
      <w:r w:rsidRPr="00FE4470">
        <w:rPr>
          <w:sz w:val="20"/>
          <w:szCs w:val="20"/>
        </w:rPr>
        <w:t xml:space="preserve"> </w:t>
      </w:r>
      <w:proofErr w:type="spellStart"/>
      <w:r w:rsidRPr="00FE4470">
        <w:rPr>
          <w:sz w:val="20"/>
          <w:szCs w:val="20"/>
        </w:rPr>
        <w:t>Kásek</w:t>
      </w:r>
      <w:proofErr w:type="spellEnd"/>
      <w:r w:rsidRPr="00FE4470">
        <w:rPr>
          <w:sz w:val="20"/>
          <w:szCs w:val="20"/>
        </w:rPr>
        <w:t xml:space="preserve">, de conformidad con lo establecido en los párrafos 294 y 295 de </w:t>
      </w:r>
      <w:r w:rsidR="00372784">
        <w:rPr>
          <w:sz w:val="20"/>
          <w:szCs w:val="20"/>
        </w:rPr>
        <w:t>la</w:t>
      </w:r>
      <w:r w:rsidRPr="00FE4470">
        <w:rPr>
          <w:sz w:val="20"/>
          <w:szCs w:val="20"/>
        </w:rPr>
        <w:t xml:space="preserve"> Sentencia.</w:t>
      </w:r>
    </w:p>
    <w:p w14:paraId="24D3C309" w14:textId="77777777" w:rsidR="00FE4470" w:rsidRPr="00FE4470" w:rsidRDefault="00FE4470" w:rsidP="00FE4470">
      <w:pPr>
        <w:pStyle w:val="Prrafodelista"/>
        <w:ind w:left="0"/>
        <w:jc w:val="both"/>
        <w:textAlignment w:val="baseline"/>
        <w:rPr>
          <w:sz w:val="20"/>
          <w:szCs w:val="20"/>
        </w:rPr>
      </w:pPr>
    </w:p>
    <w:p w14:paraId="6DA66707" w14:textId="43FE2C2B" w:rsidR="00FE4470" w:rsidRDefault="00FE4470" w:rsidP="00FE4470">
      <w:pPr>
        <w:pStyle w:val="Prrafodelista"/>
        <w:numPr>
          <w:ilvl w:val="0"/>
          <w:numId w:val="24"/>
        </w:numPr>
        <w:ind w:left="0" w:firstLine="0"/>
        <w:jc w:val="both"/>
        <w:textAlignment w:val="baseline"/>
        <w:rPr>
          <w:sz w:val="20"/>
          <w:szCs w:val="20"/>
        </w:rPr>
      </w:pPr>
      <w:r w:rsidRPr="00FE4470">
        <w:rPr>
          <w:sz w:val="20"/>
          <w:szCs w:val="20"/>
        </w:rPr>
        <w:t xml:space="preserve">Realizar, en el plazo máximo de un año a partir de la notificación de la presente Sentencia, un programa de registro y documentación, en los términos expuestos en el párrafo 308 de </w:t>
      </w:r>
      <w:r w:rsidR="00372784">
        <w:rPr>
          <w:sz w:val="20"/>
          <w:szCs w:val="20"/>
        </w:rPr>
        <w:t>la</w:t>
      </w:r>
      <w:r w:rsidRPr="00FE4470">
        <w:rPr>
          <w:sz w:val="20"/>
          <w:szCs w:val="20"/>
        </w:rPr>
        <w:t xml:space="preserve"> Sentencia. </w:t>
      </w:r>
    </w:p>
    <w:p w14:paraId="317B4345" w14:textId="77777777" w:rsidR="00FE4470" w:rsidRPr="00FE4470" w:rsidRDefault="00FE4470" w:rsidP="00FE4470">
      <w:pPr>
        <w:pStyle w:val="Prrafodelista"/>
        <w:ind w:left="0"/>
        <w:jc w:val="both"/>
        <w:textAlignment w:val="baseline"/>
        <w:rPr>
          <w:sz w:val="20"/>
          <w:szCs w:val="20"/>
        </w:rPr>
      </w:pPr>
    </w:p>
    <w:p w14:paraId="79617334" w14:textId="55256C48" w:rsidR="00E3510D" w:rsidRDefault="00E3510D" w:rsidP="00016B46">
      <w:pPr>
        <w:pStyle w:val="Prrafodelista"/>
        <w:numPr>
          <w:ilvl w:val="0"/>
          <w:numId w:val="24"/>
        </w:numPr>
        <w:ind w:left="0" w:firstLine="0"/>
        <w:jc w:val="both"/>
        <w:textAlignment w:val="baseline"/>
        <w:rPr>
          <w:sz w:val="20"/>
          <w:szCs w:val="20"/>
        </w:rPr>
      </w:pPr>
      <w:r w:rsidRPr="00FE4470">
        <w:rPr>
          <w:sz w:val="20"/>
          <w:szCs w:val="20"/>
        </w:rPr>
        <w:t>El Estado deberá, dentro del plazo dos años a partir de la notificación de esta Sentencia, pagar las cantidades fijadas en los párrafos 318</w:t>
      </w:r>
      <w:r w:rsidR="00B97CD1">
        <w:rPr>
          <w:sz w:val="20"/>
          <w:szCs w:val="20"/>
        </w:rPr>
        <w:t xml:space="preserve"> y</w:t>
      </w:r>
      <w:r w:rsidRPr="00FE4470">
        <w:rPr>
          <w:sz w:val="20"/>
          <w:szCs w:val="20"/>
        </w:rPr>
        <w:t xml:space="preserve"> 325 </w:t>
      </w:r>
      <w:r w:rsidR="00B97CD1">
        <w:rPr>
          <w:sz w:val="20"/>
          <w:szCs w:val="20"/>
        </w:rPr>
        <w:t>de la</w:t>
      </w:r>
      <w:r w:rsidRPr="00FE4470">
        <w:rPr>
          <w:sz w:val="20"/>
          <w:szCs w:val="20"/>
        </w:rPr>
        <w:t xml:space="preserve"> Sentencia por concepto de indemnizaciones por daños materiales e inmateriales</w:t>
      </w:r>
      <w:r w:rsidR="00B97CD1">
        <w:rPr>
          <w:sz w:val="20"/>
          <w:szCs w:val="20"/>
        </w:rPr>
        <w:t xml:space="preserve">, </w:t>
      </w:r>
      <w:r w:rsidRPr="00FE4470">
        <w:rPr>
          <w:sz w:val="20"/>
          <w:szCs w:val="20"/>
        </w:rPr>
        <w:t>en los términos de los párrafos 317, 321, 322 y 330 de la Sentencia.</w:t>
      </w:r>
    </w:p>
    <w:p w14:paraId="5EBF75CA" w14:textId="77777777" w:rsidR="00A038C6" w:rsidRPr="00A038C6" w:rsidRDefault="00A038C6" w:rsidP="00A038C6">
      <w:pPr>
        <w:pStyle w:val="Prrafodelista"/>
        <w:rPr>
          <w:sz w:val="20"/>
          <w:szCs w:val="20"/>
        </w:rPr>
      </w:pPr>
    </w:p>
    <w:p w14:paraId="79EB9BA8" w14:textId="03A7A93C" w:rsidR="00A038C6" w:rsidRDefault="00B97CD1" w:rsidP="00B97CD1">
      <w:pPr>
        <w:pStyle w:val="Prrafodelista"/>
        <w:numPr>
          <w:ilvl w:val="0"/>
          <w:numId w:val="24"/>
        </w:numPr>
        <w:ind w:left="0" w:firstLine="0"/>
        <w:jc w:val="both"/>
        <w:textAlignment w:val="baseline"/>
        <w:rPr>
          <w:sz w:val="20"/>
          <w:szCs w:val="20"/>
        </w:rPr>
      </w:pPr>
      <w:r w:rsidRPr="00FE4470">
        <w:rPr>
          <w:sz w:val="20"/>
          <w:szCs w:val="20"/>
        </w:rPr>
        <w:t xml:space="preserve">El Estado deberá, dentro del plazo dos años a partir de la notificación de esta Sentencia, pagar las cantidades fijadas en </w:t>
      </w:r>
      <w:r w:rsidR="007E1DE2">
        <w:rPr>
          <w:sz w:val="20"/>
          <w:szCs w:val="20"/>
        </w:rPr>
        <w:t>el</w:t>
      </w:r>
      <w:r w:rsidRPr="00FE4470">
        <w:rPr>
          <w:sz w:val="20"/>
          <w:szCs w:val="20"/>
        </w:rPr>
        <w:t xml:space="preserve"> párrafo 331 de la Sentencia por concepto de el reintegro de costas y gastos, bajo las condiciones y en los términos de los párrafos 317, 321, 322 y 330 de la Sentencia.</w:t>
      </w:r>
    </w:p>
    <w:p w14:paraId="521DBC4D" w14:textId="77777777" w:rsidR="00F716B2" w:rsidRPr="00F716B2" w:rsidRDefault="00F716B2" w:rsidP="00F716B2">
      <w:pPr>
        <w:pStyle w:val="Prrafodelista"/>
        <w:rPr>
          <w:sz w:val="20"/>
          <w:szCs w:val="20"/>
        </w:rPr>
      </w:pPr>
    </w:p>
    <w:p w14:paraId="53192D79" w14:textId="684B6983" w:rsidR="00F716B2" w:rsidRPr="00B97CD1" w:rsidRDefault="00F716B2" w:rsidP="00B97CD1">
      <w:pPr>
        <w:pStyle w:val="Prrafodelista"/>
        <w:numPr>
          <w:ilvl w:val="0"/>
          <w:numId w:val="24"/>
        </w:numPr>
        <w:ind w:left="0" w:firstLine="0"/>
        <w:jc w:val="both"/>
        <w:textAlignment w:val="baseline"/>
        <w:rPr>
          <w:sz w:val="20"/>
          <w:szCs w:val="20"/>
        </w:rPr>
      </w:pPr>
      <w:r w:rsidRPr="00BD2241">
        <w:rPr>
          <w:sz w:val="20"/>
          <w:szCs w:val="28"/>
        </w:rPr>
        <w:t>Crear un fondo de desarrollo comunitario, en los términos expuestos en los párrafos 323 de la Sentencia, así como conformar un comité de implementación de dicho fondo, en los términos y plazos establecidos en el párrafo 324 del Fallo</w:t>
      </w:r>
    </w:p>
    <w:p w14:paraId="7C30E7C0" w14:textId="77777777" w:rsidR="002235CB" w:rsidRDefault="002235CB" w:rsidP="00126084">
      <w:pPr>
        <w:jc w:val="both"/>
        <w:textAlignment w:val="baseline"/>
        <w:rPr>
          <w:rFonts w:eastAsia="Times New Roman" w:cs="Times New Roman"/>
          <w:b/>
          <w:bCs/>
          <w:color w:val="000000"/>
          <w:sz w:val="20"/>
          <w:szCs w:val="20"/>
          <w:lang w:eastAsia="en-GB"/>
        </w:rPr>
      </w:pPr>
    </w:p>
    <w:p w14:paraId="3CBA0786" w14:textId="42A7661E" w:rsidR="00126084" w:rsidRPr="00A038C6" w:rsidRDefault="00126084" w:rsidP="00126084">
      <w:pPr>
        <w:jc w:val="both"/>
        <w:textAlignment w:val="baseline"/>
        <w:rPr>
          <w:rFonts w:eastAsia="Times New Roman" w:cs="Times New Roman"/>
          <w:b/>
          <w:bCs/>
          <w:color w:val="000000"/>
          <w:sz w:val="20"/>
          <w:szCs w:val="20"/>
          <w:u w:val="single"/>
          <w:lang w:val="en-GB" w:eastAsia="en-GB"/>
        </w:rPr>
      </w:pPr>
      <w:proofErr w:type="spellStart"/>
      <w:r w:rsidRPr="00A038C6">
        <w:rPr>
          <w:rFonts w:eastAsia="Times New Roman" w:cs="Times New Roman"/>
          <w:b/>
          <w:bCs/>
          <w:color w:val="000000"/>
          <w:sz w:val="20"/>
          <w:szCs w:val="20"/>
          <w:u w:val="single"/>
          <w:lang w:val="en-GB" w:eastAsia="en-GB"/>
        </w:rPr>
        <w:t>Cumplimiento</w:t>
      </w:r>
      <w:proofErr w:type="spellEnd"/>
      <w:r w:rsidRPr="00A038C6">
        <w:rPr>
          <w:rFonts w:eastAsia="Times New Roman" w:cs="Times New Roman"/>
          <w:b/>
          <w:bCs/>
          <w:color w:val="000000"/>
          <w:sz w:val="20"/>
          <w:szCs w:val="20"/>
          <w:u w:val="single"/>
          <w:lang w:val="en-GB" w:eastAsia="en-GB"/>
        </w:rPr>
        <w:t xml:space="preserve"> </w:t>
      </w:r>
      <w:proofErr w:type="spellStart"/>
      <w:r w:rsidRPr="00A038C6">
        <w:rPr>
          <w:rFonts w:eastAsia="Times New Roman" w:cs="Times New Roman"/>
          <w:b/>
          <w:bCs/>
          <w:color w:val="000000"/>
          <w:sz w:val="20"/>
          <w:szCs w:val="20"/>
          <w:u w:val="single"/>
          <w:lang w:val="en-GB" w:eastAsia="en-GB"/>
        </w:rPr>
        <w:t>parcial</w:t>
      </w:r>
      <w:proofErr w:type="spellEnd"/>
      <w:r w:rsidR="00F716B2">
        <w:rPr>
          <w:rFonts w:eastAsia="Times New Roman" w:cs="Times New Roman"/>
          <w:b/>
          <w:bCs/>
          <w:color w:val="000000"/>
          <w:sz w:val="20"/>
          <w:szCs w:val="20"/>
          <w:u w:val="single"/>
          <w:lang w:val="en-GB" w:eastAsia="en-GB"/>
        </w:rPr>
        <w:t>:</w:t>
      </w:r>
    </w:p>
    <w:p w14:paraId="0A849ACB" w14:textId="77777777" w:rsidR="00126084" w:rsidRPr="00126084" w:rsidRDefault="00126084" w:rsidP="00126084">
      <w:pPr>
        <w:jc w:val="both"/>
        <w:textAlignment w:val="baseline"/>
        <w:rPr>
          <w:rFonts w:eastAsia="Times New Roman" w:cs="Times New Roman"/>
          <w:b/>
          <w:bCs/>
          <w:color w:val="000000"/>
          <w:sz w:val="20"/>
          <w:szCs w:val="20"/>
          <w:lang w:val="en-GB" w:eastAsia="en-GB"/>
        </w:rPr>
      </w:pPr>
    </w:p>
    <w:p w14:paraId="4517A635" w14:textId="77777777" w:rsidR="00520BE2" w:rsidRDefault="00520BE2" w:rsidP="00520BE2">
      <w:pPr>
        <w:pStyle w:val="Prrafodelista"/>
        <w:numPr>
          <w:ilvl w:val="0"/>
          <w:numId w:val="24"/>
        </w:numPr>
        <w:ind w:left="0" w:firstLine="0"/>
        <w:jc w:val="both"/>
        <w:textAlignment w:val="baseline"/>
        <w:rPr>
          <w:sz w:val="20"/>
          <w:szCs w:val="20"/>
        </w:rPr>
      </w:pPr>
      <w:r w:rsidRPr="00BD2241">
        <w:rPr>
          <w:sz w:val="20"/>
          <w:szCs w:val="20"/>
        </w:rPr>
        <w:t xml:space="preserve">El Estado deberá devolver a los miembros de la Comunidad </w:t>
      </w:r>
      <w:proofErr w:type="spellStart"/>
      <w:r w:rsidRPr="00BD2241">
        <w:rPr>
          <w:sz w:val="20"/>
          <w:szCs w:val="20"/>
        </w:rPr>
        <w:t>Xákmok</w:t>
      </w:r>
      <w:proofErr w:type="spellEnd"/>
      <w:r w:rsidRPr="00BD2241">
        <w:rPr>
          <w:sz w:val="20"/>
          <w:szCs w:val="20"/>
        </w:rPr>
        <w:t xml:space="preserve"> </w:t>
      </w:r>
      <w:proofErr w:type="spellStart"/>
      <w:r w:rsidRPr="00BD2241">
        <w:rPr>
          <w:sz w:val="20"/>
          <w:szCs w:val="20"/>
        </w:rPr>
        <w:t>Kásek</w:t>
      </w:r>
      <w:proofErr w:type="spellEnd"/>
      <w:r w:rsidRPr="00BD2241">
        <w:rPr>
          <w:sz w:val="20"/>
          <w:szCs w:val="20"/>
        </w:rPr>
        <w:t xml:space="preserve"> las 10.700 hectáreas reclamadas por ésta, en la forma y en los plazos establecidos en los párrafos 281 a 290 de la Sentencia.</w:t>
      </w:r>
    </w:p>
    <w:p w14:paraId="37501785" w14:textId="77777777" w:rsidR="00520BE2" w:rsidRDefault="00520BE2" w:rsidP="00520BE2">
      <w:pPr>
        <w:jc w:val="both"/>
        <w:textAlignment w:val="baseline"/>
        <w:rPr>
          <w:sz w:val="20"/>
          <w:szCs w:val="20"/>
        </w:rPr>
      </w:pPr>
    </w:p>
    <w:p w14:paraId="16A3221C" w14:textId="77777777" w:rsidR="00520BE2" w:rsidRPr="00E02A65" w:rsidRDefault="00520BE2" w:rsidP="00520BE2">
      <w:pPr>
        <w:jc w:val="both"/>
        <w:textAlignment w:val="baseline"/>
        <w:rPr>
          <w:sz w:val="20"/>
          <w:szCs w:val="28"/>
        </w:rPr>
      </w:pPr>
      <w:r w:rsidRPr="00E02A65">
        <w:rPr>
          <w:sz w:val="20"/>
          <w:szCs w:val="28"/>
        </w:rPr>
        <w:t xml:space="preserve">En </w:t>
      </w:r>
      <w:r>
        <w:rPr>
          <w:sz w:val="20"/>
          <w:szCs w:val="28"/>
        </w:rPr>
        <w:t>los</w:t>
      </w:r>
      <w:r w:rsidRPr="00E02A65">
        <w:rPr>
          <w:sz w:val="20"/>
          <w:szCs w:val="28"/>
        </w:rPr>
        <w:t xml:space="preserve"> Considerando</w:t>
      </w:r>
      <w:r>
        <w:rPr>
          <w:sz w:val="20"/>
          <w:szCs w:val="28"/>
        </w:rPr>
        <w:t>s</w:t>
      </w:r>
      <w:r w:rsidRPr="00E02A65">
        <w:rPr>
          <w:sz w:val="20"/>
          <w:szCs w:val="28"/>
        </w:rPr>
        <w:t xml:space="preserve"> </w:t>
      </w:r>
      <w:r>
        <w:rPr>
          <w:sz w:val="20"/>
          <w:szCs w:val="28"/>
        </w:rPr>
        <w:t>8 a 12</w:t>
      </w:r>
      <w:r w:rsidRPr="00E02A65">
        <w:rPr>
          <w:sz w:val="20"/>
          <w:szCs w:val="28"/>
        </w:rPr>
        <w:t xml:space="preserve"> de la Resolución de la Corte de </w:t>
      </w:r>
      <w:r>
        <w:rPr>
          <w:sz w:val="20"/>
          <w:szCs w:val="28"/>
        </w:rPr>
        <w:t>19 de abril de 2023</w:t>
      </w:r>
      <w:r w:rsidRPr="00E02A65">
        <w:rPr>
          <w:sz w:val="20"/>
          <w:szCs w:val="28"/>
        </w:rPr>
        <w:t xml:space="preserve">, se explica lo que continúa pendiente de cumplimiento respecto a la presente medida de reparación: </w:t>
      </w:r>
    </w:p>
    <w:p w14:paraId="0B604904" w14:textId="77777777" w:rsidR="00520BE2" w:rsidRDefault="00520BE2" w:rsidP="00520BE2">
      <w:pPr>
        <w:jc w:val="both"/>
        <w:textAlignment w:val="baseline"/>
        <w:rPr>
          <w:rFonts w:eastAsia="Times New Roman" w:cs="Times New Roman"/>
          <w:color w:val="000000"/>
          <w:sz w:val="20"/>
          <w:szCs w:val="20"/>
          <w:lang w:val="es-ES" w:eastAsia="en-GB"/>
        </w:rPr>
      </w:pPr>
    </w:p>
    <w:p w14:paraId="07DDE4D1" w14:textId="77777777" w:rsidR="00520BE2" w:rsidRDefault="00520BE2" w:rsidP="00520BE2">
      <w:pPr>
        <w:ind w:left="720"/>
        <w:jc w:val="both"/>
        <w:textAlignment w:val="baseline"/>
      </w:pPr>
      <w:r>
        <w:t xml:space="preserve">8. De acuerdo con la información aportada por las partes, la Corte valora positivamente que, en junio de 2022, Paraguay entregó a la Comunidad </w:t>
      </w:r>
      <w:proofErr w:type="spellStart"/>
      <w:r>
        <w:t>Xákmok</w:t>
      </w:r>
      <w:proofErr w:type="spellEnd"/>
      <w:r>
        <w:t xml:space="preserve"> </w:t>
      </w:r>
      <w:proofErr w:type="spellStart"/>
      <w:r>
        <w:t>Kásek</w:t>
      </w:r>
      <w:proofErr w:type="spellEnd"/>
      <w:r>
        <w:t xml:space="preserve"> el título de propiedad de 7.701 de las 10.700 hectáreas que constituyen su territorio ancestral. La devolución de la mayor parte del territorio reclamado, mediante su titulación a favor de la Comunidad, constituye un avance muy importante en el cumplimiento de esta medida. </w:t>
      </w:r>
    </w:p>
    <w:p w14:paraId="669FC88A" w14:textId="77777777" w:rsidR="00520BE2" w:rsidRDefault="00520BE2" w:rsidP="00520BE2">
      <w:pPr>
        <w:ind w:left="720"/>
        <w:jc w:val="both"/>
        <w:textAlignment w:val="baseline"/>
      </w:pPr>
    </w:p>
    <w:p w14:paraId="1ADD5331" w14:textId="77777777" w:rsidR="00520BE2" w:rsidRDefault="00520BE2" w:rsidP="00520BE2">
      <w:pPr>
        <w:ind w:left="720"/>
        <w:jc w:val="both"/>
        <w:textAlignment w:val="baseline"/>
      </w:pPr>
      <w:r>
        <w:t xml:space="preserve">9. En cuanto a las 2.999 hectáreas restantes que la Comunidad había aceptado recibir como tierras alternativas, el Tribunal toma nota de que, entre mayo de 2020 y febrero de 2022, el Estado informó sobre algunas gestiones orientadas a su adquisición. Sin embargo, advierte que la Comunidad </w:t>
      </w:r>
      <w:proofErr w:type="spellStart"/>
      <w:r>
        <w:t>Xákmok</w:t>
      </w:r>
      <w:proofErr w:type="spellEnd"/>
      <w:r>
        <w:t xml:space="preserve"> </w:t>
      </w:r>
      <w:proofErr w:type="spellStart"/>
      <w:r>
        <w:t>Kásek</w:t>
      </w:r>
      <w:proofErr w:type="spellEnd"/>
      <w:r>
        <w:t xml:space="preserve"> comunicó, en septiembre de 2022, que ante la demora estatal para concretar dicha adquisición decidió “retirar su voluntad de considerar tierras alternativas” y, en su lugar, requirió “la restitución originalmente plasmada, correspondiente a la fracción de Laguna </w:t>
      </w:r>
      <w:proofErr w:type="spellStart"/>
      <w:r>
        <w:t>He’e</w:t>
      </w:r>
      <w:proofErr w:type="spellEnd"/>
      <w:r>
        <w:t>”, como “la única posibilidad de que se dé […] cumplimiento” a esta reparación.</w:t>
      </w:r>
    </w:p>
    <w:p w14:paraId="37CD3859" w14:textId="77777777" w:rsidR="00520BE2" w:rsidRDefault="00520BE2" w:rsidP="00520BE2">
      <w:pPr>
        <w:ind w:left="720"/>
        <w:jc w:val="both"/>
        <w:textAlignment w:val="baseline"/>
      </w:pPr>
    </w:p>
    <w:p w14:paraId="56F774FD" w14:textId="77777777" w:rsidR="00520BE2" w:rsidRPr="00870C91" w:rsidRDefault="00520BE2" w:rsidP="00520BE2">
      <w:pPr>
        <w:ind w:left="720"/>
        <w:jc w:val="both"/>
        <w:textAlignment w:val="baseline"/>
      </w:pPr>
      <w:r>
        <w:t xml:space="preserve">10. Al respecto, en su informe de noviembre de 2022, el Estado se limitó a indicar que el Instituto Paraguayo del Indígena (en adelante “el INDI”) y la Comisión Interinstitucional para el Cumplimiento de Sentencias Internacionales (en adelante “la CICSI”) se encontraban efectuando “consultas internas sobre la decisión </w:t>
      </w:r>
      <w:r>
        <w:lastRenderedPageBreak/>
        <w:t xml:space="preserve">de la comunidad”, a la </w:t>
      </w:r>
      <w:r w:rsidRPr="00870C91">
        <w:t>vez que el INDI estaba “</w:t>
      </w:r>
      <w:proofErr w:type="spellStart"/>
      <w:r w:rsidRPr="00870C91">
        <w:t>explor</w:t>
      </w:r>
      <w:proofErr w:type="spellEnd"/>
      <w:r w:rsidRPr="00870C91">
        <w:t xml:space="preserve">[ando] la posibilidad de </w:t>
      </w:r>
      <w:proofErr w:type="spellStart"/>
      <w:r w:rsidRPr="00870C91">
        <w:t>adqui</w:t>
      </w:r>
      <w:proofErr w:type="spellEnd"/>
      <w:r w:rsidRPr="00870C91">
        <w:t>[</w:t>
      </w:r>
      <w:proofErr w:type="spellStart"/>
      <w:r w:rsidRPr="00870C91">
        <w:t>rir</w:t>
      </w:r>
      <w:proofErr w:type="spellEnd"/>
      <w:r w:rsidRPr="00870C91">
        <w:t xml:space="preserve">] la superficie […] pendiente de restitución” con los “propietarios colindantes”, a fin de “acercar[les] un oferta”. En el informe que presentó en febrero de 2023, el Estado no incluyó información respecto a los resultados de las referidas consultas internas, ni aclaró si el INDI llegó a presentar una oferta a los “propietarios colindantes”. La información presentada por Paraguay tampoco permite a la Corte tener claridad respecto a si la oferta de compra pretendida por el INDI concierne a las tierras alternativas que inicialmente la Comunidad había aceptado recibir o si se trata de las tierras tradicionales, en atención a la referida decisión comunitaria. </w:t>
      </w:r>
    </w:p>
    <w:p w14:paraId="6E4FF2C3" w14:textId="77777777" w:rsidR="00520BE2" w:rsidRPr="00870C91" w:rsidRDefault="00520BE2" w:rsidP="00520BE2">
      <w:pPr>
        <w:ind w:left="720"/>
        <w:jc w:val="both"/>
        <w:textAlignment w:val="baseline"/>
      </w:pPr>
    </w:p>
    <w:p w14:paraId="0C210F6A" w14:textId="77777777" w:rsidR="00520BE2" w:rsidRPr="00870C91" w:rsidRDefault="00520BE2" w:rsidP="00520BE2">
      <w:pPr>
        <w:ind w:left="720"/>
        <w:jc w:val="both"/>
        <w:textAlignment w:val="baseline"/>
      </w:pPr>
      <w:r w:rsidRPr="00870C91">
        <w:t xml:space="preserve">11. Teniendo en cuenta lo anterior, además de que los representantes han venido solicitando al Estado “tener una interlocución más fluida con la CICSI”, este Tribunal estima indispensable el diálogo entre las partes, en aras de implementar las acciones necesarias para un pronto cumplimiento de la parte que resta de esta medida (las 2.999 hectáreas pendientes). La Corte considera que la visita y audiencia convocadas para mayo de 2023 podría permitir recibir información y explicaciones de manera directa sobre esta medida, y facilitar el diálogo para avanzar en la ejecución de este extremo de la medida. </w:t>
      </w:r>
    </w:p>
    <w:p w14:paraId="6B5910A0" w14:textId="77777777" w:rsidR="00520BE2" w:rsidRPr="00870C91" w:rsidRDefault="00520BE2" w:rsidP="00520BE2">
      <w:pPr>
        <w:ind w:left="720"/>
        <w:jc w:val="both"/>
        <w:textAlignment w:val="baseline"/>
      </w:pPr>
    </w:p>
    <w:p w14:paraId="52DFB007" w14:textId="77777777" w:rsidR="00520BE2" w:rsidRDefault="00520BE2" w:rsidP="00520BE2">
      <w:pPr>
        <w:ind w:left="720"/>
        <w:jc w:val="both"/>
        <w:textAlignment w:val="baseline"/>
      </w:pPr>
      <w:r w:rsidRPr="00870C91">
        <w:t>12. Por último, el Tribunal toma nota de que, según lo informado por las partes, todavía no se ha realizado ningún pago relativo a la indemnización dispuesta en el párrafo 288 de la Sentencia por concepto de retraso, por lo que requiere recibir información actualizada al respecto durante la visita y audiencia de supervisión convocadas para mayo de 2023.</w:t>
      </w:r>
    </w:p>
    <w:p w14:paraId="6A70D794" w14:textId="77777777" w:rsidR="00520BE2" w:rsidRPr="003C4BC8" w:rsidRDefault="00520BE2" w:rsidP="00520BE2">
      <w:pPr>
        <w:ind w:left="720"/>
        <w:jc w:val="both"/>
        <w:textAlignment w:val="baseline"/>
        <w:rPr>
          <w:rFonts w:eastAsia="Times New Roman" w:cs="Times New Roman"/>
          <w:color w:val="000000"/>
          <w:sz w:val="20"/>
          <w:szCs w:val="28"/>
          <w:lang w:val="es-ES" w:eastAsia="en-GB"/>
        </w:rPr>
      </w:pPr>
    </w:p>
    <w:p w14:paraId="060B3D35" w14:textId="77777777" w:rsidR="00520BE2" w:rsidRPr="0090772F" w:rsidRDefault="00520BE2" w:rsidP="00520BE2">
      <w:pPr>
        <w:pStyle w:val="Prrafodelista"/>
        <w:numPr>
          <w:ilvl w:val="0"/>
          <w:numId w:val="24"/>
        </w:numPr>
        <w:ind w:left="0" w:firstLine="0"/>
        <w:jc w:val="both"/>
        <w:textAlignment w:val="baseline"/>
        <w:rPr>
          <w:rFonts w:eastAsia="Times New Roman" w:cs="Times New Roman"/>
          <w:color w:val="000000"/>
          <w:sz w:val="24"/>
          <w:lang w:val="es-ES" w:eastAsia="en-GB"/>
        </w:rPr>
      </w:pPr>
      <w:r>
        <w:rPr>
          <w:sz w:val="20"/>
          <w:szCs w:val="28"/>
        </w:rPr>
        <w:t>R</w:t>
      </w:r>
      <w:r w:rsidRPr="00371B7E">
        <w:rPr>
          <w:sz w:val="20"/>
          <w:szCs w:val="28"/>
        </w:rPr>
        <w:t xml:space="preserve">ealizar las publicaciones ordenadas en el párrafo 298 de </w:t>
      </w:r>
      <w:r>
        <w:rPr>
          <w:sz w:val="20"/>
          <w:szCs w:val="28"/>
        </w:rPr>
        <w:t>la</w:t>
      </w:r>
      <w:r w:rsidRPr="00371B7E">
        <w:rPr>
          <w:sz w:val="20"/>
          <w:szCs w:val="28"/>
        </w:rPr>
        <w:t xml:space="preserve"> Sentencia, en la forma y en los plazos indicados en el mencionado párrafo. </w:t>
      </w:r>
    </w:p>
    <w:p w14:paraId="7837D811" w14:textId="77777777" w:rsidR="00520BE2" w:rsidRPr="00E02A65" w:rsidRDefault="00520BE2" w:rsidP="00520BE2">
      <w:pPr>
        <w:pStyle w:val="Prrafodelista"/>
        <w:ind w:left="0"/>
        <w:jc w:val="both"/>
        <w:textAlignment w:val="baseline"/>
        <w:rPr>
          <w:rFonts w:eastAsia="Times New Roman" w:cs="Times New Roman"/>
          <w:color w:val="000000"/>
          <w:sz w:val="20"/>
          <w:szCs w:val="20"/>
          <w:lang w:val="es-ES" w:eastAsia="en-GB"/>
        </w:rPr>
      </w:pPr>
    </w:p>
    <w:p w14:paraId="1168FEC3" w14:textId="77777777" w:rsidR="00520BE2" w:rsidRPr="00E02A65" w:rsidRDefault="00520BE2" w:rsidP="00520BE2">
      <w:pPr>
        <w:pStyle w:val="Prrafodelista"/>
        <w:ind w:left="0"/>
        <w:jc w:val="both"/>
        <w:textAlignment w:val="baseline"/>
        <w:rPr>
          <w:sz w:val="20"/>
          <w:szCs w:val="28"/>
        </w:rPr>
      </w:pPr>
      <w:r w:rsidRPr="00E02A65">
        <w:rPr>
          <w:sz w:val="20"/>
          <w:szCs w:val="28"/>
        </w:rPr>
        <w:t xml:space="preserve">En el Considerando 12 de la Resolución de la Corte de 30 de agosto de 2017, se explica lo que continúa pendiente de cumplimiento respecto a la presente medida de reparación: </w:t>
      </w:r>
    </w:p>
    <w:p w14:paraId="0402389D" w14:textId="77777777" w:rsidR="00520BE2" w:rsidRDefault="00520BE2" w:rsidP="00520BE2">
      <w:pPr>
        <w:pStyle w:val="Prrafodelista"/>
        <w:ind w:left="0"/>
        <w:jc w:val="both"/>
        <w:textAlignment w:val="baseline"/>
      </w:pPr>
    </w:p>
    <w:p w14:paraId="6442943B" w14:textId="77777777" w:rsidR="00520BE2" w:rsidRDefault="00520BE2" w:rsidP="00520BE2">
      <w:pPr>
        <w:pStyle w:val="Prrafodelista"/>
        <w:jc w:val="both"/>
        <w:textAlignment w:val="baseline"/>
      </w:pPr>
      <w:r>
        <w:t xml:space="preserve">12. Por otra parte, en lo que respecta a las reparaciones correspondientes a la radiodifusión de la sentencia del caso </w:t>
      </w:r>
      <w:proofErr w:type="spellStart"/>
      <w:r>
        <w:t>Xákmok</w:t>
      </w:r>
      <w:proofErr w:type="spellEnd"/>
      <w:r>
        <w:t xml:space="preserve"> </w:t>
      </w:r>
      <w:proofErr w:type="spellStart"/>
      <w:r>
        <w:t>Kásek</w:t>
      </w:r>
      <w:proofErr w:type="spellEnd"/>
      <w:r>
        <w:t xml:space="preserve">, y a las publicaciones ordenadas en las Sentencias de los tres casos en un diario de circulación nacional, la Corte no cuenta con elementos para valorar su cumplimiento. Por consiguiente, se requiere al Estado que proporcione información sobre el cumplimiento de estas medidas, tomando en consideración que el plazo para su cumplimiento venció en marzo de 2011. En particular, se requiere que el Estado remita, a la brevedad posible, los comprobantes de las publicaciones en un diario de circulación nacional correspondientes a las sentencias de los tres casos y de la radiodifusión ordenada en el caso </w:t>
      </w:r>
      <w:proofErr w:type="spellStart"/>
      <w:r>
        <w:t>Xákmok</w:t>
      </w:r>
      <w:proofErr w:type="spellEnd"/>
      <w:r>
        <w:t xml:space="preserve"> </w:t>
      </w:r>
      <w:proofErr w:type="spellStart"/>
      <w:r>
        <w:t>Kásek</w:t>
      </w:r>
      <w:proofErr w:type="spellEnd"/>
      <w:r>
        <w:t>, en los términos ordenados en las Sentencias respectivas y en las resoluciones correspondientes de supervisión de cumplimiento de sentencia de 2008.</w:t>
      </w:r>
    </w:p>
    <w:p w14:paraId="63673139" w14:textId="77777777" w:rsidR="002235CB" w:rsidRDefault="002235CB" w:rsidP="002235CB">
      <w:pPr>
        <w:jc w:val="both"/>
        <w:textAlignment w:val="baseline"/>
        <w:rPr>
          <w:rFonts w:eastAsia="Times New Roman" w:cs="Times New Roman"/>
          <w:color w:val="000000"/>
          <w:sz w:val="20"/>
          <w:szCs w:val="20"/>
          <w:lang w:val="es-ES" w:eastAsia="en-GB"/>
        </w:rPr>
      </w:pPr>
    </w:p>
    <w:p w14:paraId="56BDE759" w14:textId="11AD5BCC" w:rsidR="00A038C6" w:rsidRPr="00A038C6" w:rsidRDefault="00A038C6" w:rsidP="00A038C6">
      <w:pPr>
        <w:jc w:val="both"/>
        <w:textAlignment w:val="baseline"/>
        <w:rPr>
          <w:b/>
          <w:bCs/>
          <w:sz w:val="20"/>
          <w:szCs w:val="32"/>
          <w:u w:val="single"/>
        </w:rPr>
      </w:pPr>
      <w:r w:rsidRPr="00A038C6">
        <w:rPr>
          <w:b/>
          <w:bCs/>
          <w:sz w:val="20"/>
          <w:szCs w:val="32"/>
          <w:u w:val="single"/>
        </w:rPr>
        <w:t>Medida sobre la cual se ha concluido el proceso de supervisión de cumplimiento</w:t>
      </w:r>
      <w:r w:rsidR="00F716B2">
        <w:rPr>
          <w:b/>
          <w:bCs/>
          <w:sz w:val="20"/>
          <w:szCs w:val="32"/>
          <w:u w:val="single"/>
        </w:rPr>
        <w:t>:</w:t>
      </w:r>
    </w:p>
    <w:p w14:paraId="4E6112EE" w14:textId="77777777" w:rsidR="00A038C6" w:rsidRDefault="00A038C6" w:rsidP="00A038C6">
      <w:pPr>
        <w:jc w:val="both"/>
        <w:textAlignment w:val="baseline"/>
        <w:rPr>
          <w:rFonts w:eastAsia="Times New Roman" w:cs="Times New Roman"/>
          <w:color w:val="000000"/>
          <w:sz w:val="20"/>
          <w:szCs w:val="20"/>
          <w:lang w:val="es-ES" w:eastAsia="en-GB"/>
        </w:rPr>
      </w:pPr>
    </w:p>
    <w:p w14:paraId="7D2006E1" w14:textId="77777777" w:rsidR="00A038C6" w:rsidRDefault="00A038C6" w:rsidP="00A038C6">
      <w:pPr>
        <w:pStyle w:val="Prrafodelista"/>
        <w:numPr>
          <w:ilvl w:val="0"/>
          <w:numId w:val="24"/>
        </w:numPr>
        <w:ind w:left="0" w:firstLine="0"/>
        <w:jc w:val="both"/>
        <w:textAlignment w:val="baseline"/>
        <w:rPr>
          <w:sz w:val="20"/>
          <w:szCs w:val="20"/>
        </w:rPr>
      </w:pPr>
      <w:r w:rsidRPr="00FE4470">
        <w:rPr>
          <w:sz w:val="20"/>
          <w:szCs w:val="20"/>
        </w:rPr>
        <w:t xml:space="preserve">Adoptar inmediatamente las medidas necesarias para que el Decreto No. 11.804 que </w:t>
      </w:r>
      <w:proofErr w:type="gramStart"/>
      <w:r w:rsidRPr="00FE4470">
        <w:rPr>
          <w:sz w:val="20"/>
          <w:szCs w:val="20"/>
        </w:rPr>
        <w:t>declaró como</w:t>
      </w:r>
      <w:proofErr w:type="gramEnd"/>
      <w:r w:rsidRPr="00FE4470">
        <w:rPr>
          <w:sz w:val="20"/>
          <w:szCs w:val="20"/>
        </w:rPr>
        <w:t xml:space="preserve"> área silvestre protegida a parte del territorio reclamado por la Comunidad no sea un obstáculo para la devolución de las tierras tradicionales, de conformidad con lo expuesto en los párrafos 311 y 313 de </w:t>
      </w:r>
      <w:r>
        <w:rPr>
          <w:sz w:val="20"/>
          <w:szCs w:val="20"/>
        </w:rPr>
        <w:t>la</w:t>
      </w:r>
      <w:r w:rsidRPr="00FE4470">
        <w:rPr>
          <w:sz w:val="20"/>
          <w:szCs w:val="20"/>
        </w:rPr>
        <w:t xml:space="preserve"> Sentencia.</w:t>
      </w:r>
    </w:p>
    <w:p w14:paraId="496FBFEB" w14:textId="77777777" w:rsidR="002235CB" w:rsidRPr="003B7CC9" w:rsidRDefault="002235CB" w:rsidP="002235CB">
      <w:pPr>
        <w:jc w:val="both"/>
        <w:textAlignment w:val="baseline"/>
        <w:rPr>
          <w:sz w:val="20"/>
          <w:szCs w:val="28"/>
        </w:rPr>
      </w:pPr>
    </w:p>
    <w:p w14:paraId="08D7DFD1" w14:textId="7BF9952C" w:rsidR="003B7CC9" w:rsidRDefault="003B7CC9" w:rsidP="002235CB">
      <w:pPr>
        <w:jc w:val="both"/>
        <w:textAlignment w:val="baseline"/>
        <w:rPr>
          <w:sz w:val="20"/>
          <w:szCs w:val="28"/>
        </w:rPr>
      </w:pPr>
      <w:r w:rsidRPr="003B7CC9">
        <w:rPr>
          <w:sz w:val="20"/>
          <w:szCs w:val="28"/>
        </w:rPr>
        <w:t xml:space="preserve">En el Considerando </w:t>
      </w:r>
      <w:r w:rsidR="00EC7364">
        <w:rPr>
          <w:sz w:val="20"/>
          <w:szCs w:val="28"/>
        </w:rPr>
        <w:t>32</w:t>
      </w:r>
      <w:r w:rsidRPr="003B7CC9">
        <w:rPr>
          <w:sz w:val="20"/>
          <w:szCs w:val="28"/>
        </w:rPr>
        <w:t xml:space="preserve"> de la Resolución de 14 de mayo de </w:t>
      </w:r>
      <w:r>
        <w:rPr>
          <w:sz w:val="20"/>
          <w:szCs w:val="28"/>
        </w:rPr>
        <w:t>2019</w:t>
      </w:r>
      <w:r w:rsidRPr="003B7CC9">
        <w:rPr>
          <w:sz w:val="20"/>
          <w:szCs w:val="28"/>
        </w:rPr>
        <w:t xml:space="preserve"> se explica la razón por la cual se concluye el proceso de supervisión de cumplimiento</w:t>
      </w:r>
      <w:r w:rsidR="00EC7364">
        <w:rPr>
          <w:sz w:val="20"/>
          <w:szCs w:val="28"/>
        </w:rPr>
        <w:t>:</w:t>
      </w:r>
    </w:p>
    <w:p w14:paraId="34DD7CB6" w14:textId="77777777" w:rsidR="00EC7364" w:rsidRDefault="00EC7364" w:rsidP="002235CB">
      <w:pPr>
        <w:jc w:val="both"/>
        <w:textAlignment w:val="baseline"/>
        <w:rPr>
          <w:sz w:val="20"/>
          <w:szCs w:val="28"/>
        </w:rPr>
      </w:pPr>
    </w:p>
    <w:p w14:paraId="7669D7D7" w14:textId="64D3ECC7" w:rsidR="00EC7364" w:rsidRPr="003B7CC9" w:rsidRDefault="00EC7364" w:rsidP="00EC7364">
      <w:pPr>
        <w:ind w:left="720"/>
        <w:jc w:val="both"/>
        <w:textAlignment w:val="baseline"/>
        <w:rPr>
          <w:sz w:val="20"/>
          <w:szCs w:val="28"/>
        </w:rPr>
      </w:pPr>
      <w:r>
        <w:t xml:space="preserve">32. Considerando que dicho Decreto No. 11.804 ya no se encuentra vigente dentro del ordenamiento jurídico de Paraguay y que, por ende, ya no representa un obstáculo para la devolución de las tierras a la Comunidad </w:t>
      </w:r>
      <w:proofErr w:type="spellStart"/>
      <w:r>
        <w:t>Xákmok</w:t>
      </w:r>
      <w:proofErr w:type="spellEnd"/>
      <w:r>
        <w:t xml:space="preserve"> </w:t>
      </w:r>
      <w:proofErr w:type="spellStart"/>
      <w:r>
        <w:t>Kásek</w:t>
      </w:r>
      <w:proofErr w:type="spellEnd"/>
      <w:r>
        <w:t>, la Corte declara concluida la supervisión de cumplimiento del punto resolutivo vigésimo sexto de la Sentencia.</w:t>
      </w:r>
    </w:p>
    <w:sectPr w:rsidR="00EC7364" w:rsidRPr="003B7CC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9CD28" w14:textId="77777777" w:rsidR="005D2A9F" w:rsidRDefault="005D2A9F" w:rsidP="009F7EF4">
      <w:r>
        <w:separator/>
      </w:r>
    </w:p>
  </w:endnote>
  <w:endnote w:type="continuationSeparator" w:id="0">
    <w:p w14:paraId="45ECBF95" w14:textId="77777777" w:rsidR="005D2A9F" w:rsidRDefault="005D2A9F"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66F29"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FD37612"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BB3D6" w14:textId="77777777" w:rsidR="005D2A9F" w:rsidRDefault="005D2A9F" w:rsidP="009F7EF4">
      <w:r>
        <w:separator/>
      </w:r>
    </w:p>
  </w:footnote>
  <w:footnote w:type="continuationSeparator" w:id="0">
    <w:p w14:paraId="0F0B9EEB" w14:textId="77777777" w:rsidR="005D2A9F" w:rsidRDefault="005D2A9F"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897709"/>
      <w:docPartObj>
        <w:docPartGallery w:val="Page Numbers (Top of Page)"/>
        <w:docPartUnique/>
      </w:docPartObj>
    </w:sdtPr>
    <w:sdtEndPr>
      <w:rPr>
        <w:noProof/>
        <w:sz w:val="20"/>
        <w:szCs w:val="20"/>
      </w:rPr>
    </w:sdtEndPr>
    <w:sdtContent>
      <w:p w14:paraId="53AB38B2"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CF5AE9">
          <w:rPr>
            <w:noProof/>
            <w:sz w:val="20"/>
            <w:szCs w:val="20"/>
          </w:rPr>
          <w:t>1</w:t>
        </w:r>
        <w:r w:rsidRPr="00675FE7">
          <w:rPr>
            <w:noProof/>
            <w:sz w:val="20"/>
            <w:szCs w:val="20"/>
          </w:rPr>
          <w:fldChar w:fldCharType="end"/>
        </w:r>
      </w:p>
    </w:sdtContent>
  </w:sdt>
  <w:p w14:paraId="6AAAE817"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CB237F3"/>
    <w:multiLevelType w:val="multilevel"/>
    <w:tmpl w:val="53A09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281185"/>
    <w:multiLevelType w:val="multilevel"/>
    <w:tmpl w:val="95C2D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925D73"/>
    <w:multiLevelType w:val="multilevel"/>
    <w:tmpl w:val="A7585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E27A80"/>
    <w:multiLevelType w:val="multilevel"/>
    <w:tmpl w:val="A2CCE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656B7F"/>
    <w:multiLevelType w:val="multilevel"/>
    <w:tmpl w:val="8056C8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70105E"/>
    <w:multiLevelType w:val="multilevel"/>
    <w:tmpl w:val="1416E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EE6844"/>
    <w:multiLevelType w:val="multilevel"/>
    <w:tmpl w:val="8452B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A65D44"/>
    <w:multiLevelType w:val="multilevel"/>
    <w:tmpl w:val="64604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F768DF"/>
    <w:multiLevelType w:val="hybridMultilevel"/>
    <w:tmpl w:val="638C7170"/>
    <w:lvl w:ilvl="0" w:tplc="57F23E58">
      <w:start w:val="1"/>
      <w:numFmt w:val="decimal"/>
      <w:lvlText w:val="%1."/>
      <w:lvlJc w:val="left"/>
      <w:pPr>
        <w:ind w:left="720" w:hanging="360"/>
      </w:pPr>
      <w:rPr>
        <w:rFonts w:hint="default"/>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7607B1C"/>
    <w:multiLevelType w:val="multilevel"/>
    <w:tmpl w:val="4C4C5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BC5E37"/>
    <w:multiLevelType w:val="hybridMultilevel"/>
    <w:tmpl w:val="67FE0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203BB7"/>
    <w:multiLevelType w:val="multilevel"/>
    <w:tmpl w:val="3A8EC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021C35"/>
    <w:multiLevelType w:val="multilevel"/>
    <w:tmpl w:val="A9161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4A30327"/>
    <w:multiLevelType w:val="multilevel"/>
    <w:tmpl w:val="6138F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19"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20"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856E24"/>
    <w:multiLevelType w:val="multilevel"/>
    <w:tmpl w:val="6E52C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1478906">
    <w:abstractNumId w:val="20"/>
  </w:num>
  <w:num w:numId="2" w16cid:durableId="632488297">
    <w:abstractNumId w:val="8"/>
  </w:num>
  <w:num w:numId="3" w16cid:durableId="2126188424">
    <w:abstractNumId w:val="19"/>
  </w:num>
  <w:num w:numId="4" w16cid:durableId="1258245272">
    <w:abstractNumId w:val="0"/>
  </w:num>
  <w:num w:numId="5" w16cid:durableId="2119524738">
    <w:abstractNumId w:val="5"/>
  </w:num>
  <w:num w:numId="6" w16cid:durableId="509099911">
    <w:abstractNumId w:val="16"/>
  </w:num>
  <w:num w:numId="7" w16cid:durableId="1372727324">
    <w:abstractNumId w:val="18"/>
  </w:num>
  <w:num w:numId="8" w16cid:durableId="605380989">
    <w:abstractNumId w:val="1"/>
  </w:num>
  <w:num w:numId="9" w16cid:durableId="304700923">
    <w:abstractNumId w:val="12"/>
  </w:num>
  <w:num w:numId="10" w16cid:durableId="1222332225">
    <w:abstractNumId w:val="2"/>
  </w:num>
  <w:num w:numId="11" w16cid:durableId="1073772470">
    <w:abstractNumId w:val="7"/>
  </w:num>
  <w:num w:numId="12" w16cid:durableId="1785418040">
    <w:abstractNumId w:val="6"/>
  </w:num>
  <w:num w:numId="13" w16cid:durableId="1230579613">
    <w:abstractNumId w:val="6"/>
  </w:num>
  <w:num w:numId="14" w16cid:durableId="602735851">
    <w:abstractNumId w:val="6"/>
  </w:num>
  <w:num w:numId="15" w16cid:durableId="881163911">
    <w:abstractNumId w:val="17"/>
  </w:num>
  <w:num w:numId="16" w16cid:durableId="1016660477">
    <w:abstractNumId w:val="3"/>
  </w:num>
  <w:num w:numId="17" w16cid:durableId="104740124">
    <w:abstractNumId w:val="21"/>
  </w:num>
  <w:num w:numId="18" w16cid:durableId="1894273580">
    <w:abstractNumId w:val="15"/>
  </w:num>
  <w:num w:numId="19" w16cid:durableId="1578369542">
    <w:abstractNumId w:val="9"/>
  </w:num>
  <w:num w:numId="20" w16cid:durableId="339625195">
    <w:abstractNumId w:val="13"/>
  </w:num>
  <w:num w:numId="21" w16cid:durableId="1902250807">
    <w:abstractNumId w:val="14"/>
  </w:num>
  <w:num w:numId="22" w16cid:durableId="837119370">
    <w:abstractNumId w:val="4"/>
  </w:num>
  <w:num w:numId="23" w16cid:durableId="719859740">
    <w:abstractNumId w:val="10"/>
  </w:num>
  <w:num w:numId="24" w16cid:durableId="3016945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F4"/>
    <w:rsid w:val="00060447"/>
    <w:rsid w:val="000930F6"/>
    <w:rsid w:val="00101CC6"/>
    <w:rsid w:val="00126084"/>
    <w:rsid w:val="001426AA"/>
    <w:rsid w:val="00154E7B"/>
    <w:rsid w:val="001729AE"/>
    <w:rsid w:val="001A70B3"/>
    <w:rsid w:val="001F3394"/>
    <w:rsid w:val="001F601C"/>
    <w:rsid w:val="00214AB7"/>
    <w:rsid w:val="002235CB"/>
    <w:rsid w:val="00296F77"/>
    <w:rsid w:val="002B3295"/>
    <w:rsid w:val="002E376C"/>
    <w:rsid w:val="003262B1"/>
    <w:rsid w:val="00372784"/>
    <w:rsid w:val="003A7E5E"/>
    <w:rsid w:val="003B7CC9"/>
    <w:rsid w:val="003C561A"/>
    <w:rsid w:val="003D0086"/>
    <w:rsid w:val="003D13A6"/>
    <w:rsid w:val="003E2FF4"/>
    <w:rsid w:val="00474D04"/>
    <w:rsid w:val="00476F6E"/>
    <w:rsid w:val="00493DE5"/>
    <w:rsid w:val="004D779B"/>
    <w:rsid w:val="00520BE2"/>
    <w:rsid w:val="00534BA6"/>
    <w:rsid w:val="005677D8"/>
    <w:rsid w:val="005A203D"/>
    <w:rsid w:val="005C5019"/>
    <w:rsid w:val="005D1A85"/>
    <w:rsid w:val="005D2545"/>
    <w:rsid w:val="005D2A9F"/>
    <w:rsid w:val="005D56BD"/>
    <w:rsid w:val="0060160E"/>
    <w:rsid w:val="006022F0"/>
    <w:rsid w:val="00617B3E"/>
    <w:rsid w:val="006A777A"/>
    <w:rsid w:val="006C38A6"/>
    <w:rsid w:val="006F0BB6"/>
    <w:rsid w:val="00782E71"/>
    <w:rsid w:val="00792165"/>
    <w:rsid w:val="007B57B2"/>
    <w:rsid w:val="007E1DE2"/>
    <w:rsid w:val="00834D52"/>
    <w:rsid w:val="00834F1A"/>
    <w:rsid w:val="00876E46"/>
    <w:rsid w:val="008B6F67"/>
    <w:rsid w:val="00926FFB"/>
    <w:rsid w:val="009832C0"/>
    <w:rsid w:val="009B34C7"/>
    <w:rsid w:val="009D22BE"/>
    <w:rsid w:val="009D6A26"/>
    <w:rsid w:val="009F7EF4"/>
    <w:rsid w:val="00A038C6"/>
    <w:rsid w:val="00A155C2"/>
    <w:rsid w:val="00A1649A"/>
    <w:rsid w:val="00A24D2C"/>
    <w:rsid w:val="00A257E2"/>
    <w:rsid w:val="00AA6B2F"/>
    <w:rsid w:val="00AE0035"/>
    <w:rsid w:val="00B11B9B"/>
    <w:rsid w:val="00B32A37"/>
    <w:rsid w:val="00B33305"/>
    <w:rsid w:val="00B97CD1"/>
    <w:rsid w:val="00BA6BA9"/>
    <w:rsid w:val="00BC5824"/>
    <w:rsid w:val="00C04CCC"/>
    <w:rsid w:val="00C051DF"/>
    <w:rsid w:val="00C4747D"/>
    <w:rsid w:val="00C66067"/>
    <w:rsid w:val="00C807CF"/>
    <w:rsid w:val="00CF5AE9"/>
    <w:rsid w:val="00D3440D"/>
    <w:rsid w:val="00DF3522"/>
    <w:rsid w:val="00E3510D"/>
    <w:rsid w:val="00E42392"/>
    <w:rsid w:val="00E50670"/>
    <w:rsid w:val="00E507C2"/>
    <w:rsid w:val="00E85D9E"/>
    <w:rsid w:val="00EC7364"/>
    <w:rsid w:val="00ED3B8F"/>
    <w:rsid w:val="00F24D07"/>
    <w:rsid w:val="00F50093"/>
    <w:rsid w:val="00F716B2"/>
    <w:rsid w:val="00FE4470"/>
    <w:rsid w:val="00FE6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DFCE8"/>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7B2"/>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 w:type="paragraph" w:styleId="NormalWeb">
    <w:name w:val="Normal (Web)"/>
    <w:basedOn w:val="Normal"/>
    <w:uiPriority w:val="99"/>
    <w:semiHidden/>
    <w:unhideWhenUsed/>
    <w:rsid w:val="005677D8"/>
    <w:pPr>
      <w:spacing w:before="100" w:beforeAutospacing="1" w:after="100" w:afterAutospacing="1"/>
    </w:pPr>
    <w:rPr>
      <w:rFonts w:ascii="Times New Roman" w:eastAsia="Times New Roman" w:hAnsi="Times New Roman" w:cs="Times New Roman"/>
      <w:sz w:val="24"/>
      <w:lang w:val="en-GB" w:eastAsia="en-GB"/>
    </w:rPr>
  </w:style>
  <w:style w:type="character" w:styleId="Hipervnculo">
    <w:name w:val="Hyperlink"/>
    <w:basedOn w:val="Fuentedeprrafopredeter"/>
    <w:uiPriority w:val="99"/>
    <w:unhideWhenUsed/>
    <w:rsid w:val="005D56BD"/>
    <w:rPr>
      <w:color w:val="0000FF" w:themeColor="hyperlink"/>
      <w:u w:val="single"/>
    </w:rPr>
  </w:style>
  <w:style w:type="character" w:styleId="Mencinsinresolver">
    <w:name w:val="Unresolved Mention"/>
    <w:basedOn w:val="Fuentedeprrafopredeter"/>
    <w:uiPriority w:val="99"/>
    <w:semiHidden/>
    <w:unhideWhenUsed/>
    <w:rsid w:val="005D5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04470">
      <w:bodyDiv w:val="1"/>
      <w:marLeft w:val="0"/>
      <w:marRight w:val="0"/>
      <w:marTop w:val="0"/>
      <w:marBottom w:val="0"/>
      <w:divBdr>
        <w:top w:val="none" w:sz="0" w:space="0" w:color="auto"/>
        <w:left w:val="none" w:sz="0" w:space="0" w:color="auto"/>
        <w:bottom w:val="none" w:sz="0" w:space="0" w:color="auto"/>
        <w:right w:val="none" w:sz="0" w:space="0" w:color="auto"/>
      </w:divBdr>
    </w:div>
    <w:div w:id="70779510">
      <w:bodyDiv w:val="1"/>
      <w:marLeft w:val="0"/>
      <w:marRight w:val="0"/>
      <w:marTop w:val="0"/>
      <w:marBottom w:val="0"/>
      <w:divBdr>
        <w:top w:val="none" w:sz="0" w:space="0" w:color="auto"/>
        <w:left w:val="none" w:sz="0" w:space="0" w:color="auto"/>
        <w:bottom w:val="none" w:sz="0" w:space="0" w:color="auto"/>
        <w:right w:val="none" w:sz="0" w:space="0" w:color="auto"/>
      </w:divBdr>
    </w:div>
    <w:div w:id="174534760">
      <w:bodyDiv w:val="1"/>
      <w:marLeft w:val="0"/>
      <w:marRight w:val="0"/>
      <w:marTop w:val="0"/>
      <w:marBottom w:val="0"/>
      <w:divBdr>
        <w:top w:val="none" w:sz="0" w:space="0" w:color="auto"/>
        <w:left w:val="none" w:sz="0" w:space="0" w:color="auto"/>
        <w:bottom w:val="none" w:sz="0" w:space="0" w:color="auto"/>
        <w:right w:val="none" w:sz="0" w:space="0" w:color="auto"/>
      </w:divBdr>
    </w:div>
    <w:div w:id="188688370">
      <w:bodyDiv w:val="1"/>
      <w:marLeft w:val="0"/>
      <w:marRight w:val="0"/>
      <w:marTop w:val="0"/>
      <w:marBottom w:val="0"/>
      <w:divBdr>
        <w:top w:val="none" w:sz="0" w:space="0" w:color="auto"/>
        <w:left w:val="none" w:sz="0" w:space="0" w:color="auto"/>
        <w:bottom w:val="none" w:sz="0" w:space="0" w:color="auto"/>
        <w:right w:val="none" w:sz="0" w:space="0" w:color="auto"/>
      </w:divBdr>
    </w:div>
    <w:div w:id="418990933">
      <w:bodyDiv w:val="1"/>
      <w:marLeft w:val="0"/>
      <w:marRight w:val="0"/>
      <w:marTop w:val="0"/>
      <w:marBottom w:val="0"/>
      <w:divBdr>
        <w:top w:val="none" w:sz="0" w:space="0" w:color="auto"/>
        <w:left w:val="none" w:sz="0" w:space="0" w:color="auto"/>
        <w:bottom w:val="none" w:sz="0" w:space="0" w:color="auto"/>
        <w:right w:val="none" w:sz="0" w:space="0" w:color="auto"/>
      </w:divBdr>
    </w:div>
    <w:div w:id="472449592">
      <w:bodyDiv w:val="1"/>
      <w:marLeft w:val="0"/>
      <w:marRight w:val="0"/>
      <w:marTop w:val="0"/>
      <w:marBottom w:val="0"/>
      <w:divBdr>
        <w:top w:val="none" w:sz="0" w:space="0" w:color="auto"/>
        <w:left w:val="none" w:sz="0" w:space="0" w:color="auto"/>
        <w:bottom w:val="none" w:sz="0" w:space="0" w:color="auto"/>
        <w:right w:val="none" w:sz="0" w:space="0" w:color="auto"/>
      </w:divBdr>
    </w:div>
    <w:div w:id="613903752">
      <w:bodyDiv w:val="1"/>
      <w:marLeft w:val="0"/>
      <w:marRight w:val="0"/>
      <w:marTop w:val="0"/>
      <w:marBottom w:val="0"/>
      <w:divBdr>
        <w:top w:val="none" w:sz="0" w:space="0" w:color="auto"/>
        <w:left w:val="none" w:sz="0" w:space="0" w:color="auto"/>
        <w:bottom w:val="none" w:sz="0" w:space="0" w:color="auto"/>
        <w:right w:val="none" w:sz="0" w:space="0" w:color="auto"/>
      </w:divBdr>
    </w:div>
    <w:div w:id="654919654">
      <w:bodyDiv w:val="1"/>
      <w:marLeft w:val="0"/>
      <w:marRight w:val="0"/>
      <w:marTop w:val="0"/>
      <w:marBottom w:val="0"/>
      <w:divBdr>
        <w:top w:val="none" w:sz="0" w:space="0" w:color="auto"/>
        <w:left w:val="none" w:sz="0" w:space="0" w:color="auto"/>
        <w:bottom w:val="none" w:sz="0" w:space="0" w:color="auto"/>
        <w:right w:val="none" w:sz="0" w:space="0" w:color="auto"/>
      </w:divBdr>
    </w:div>
    <w:div w:id="829247837">
      <w:bodyDiv w:val="1"/>
      <w:marLeft w:val="0"/>
      <w:marRight w:val="0"/>
      <w:marTop w:val="0"/>
      <w:marBottom w:val="0"/>
      <w:divBdr>
        <w:top w:val="none" w:sz="0" w:space="0" w:color="auto"/>
        <w:left w:val="none" w:sz="0" w:space="0" w:color="auto"/>
        <w:bottom w:val="none" w:sz="0" w:space="0" w:color="auto"/>
        <w:right w:val="none" w:sz="0" w:space="0" w:color="auto"/>
      </w:divBdr>
    </w:div>
    <w:div w:id="852261881">
      <w:bodyDiv w:val="1"/>
      <w:marLeft w:val="0"/>
      <w:marRight w:val="0"/>
      <w:marTop w:val="0"/>
      <w:marBottom w:val="0"/>
      <w:divBdr>
        <w:top w:val="none" w:sz="0" w:space="0" w:color="auto"/>
        <w:left w:val="none" w:sz="0" w:space="0" w:color="auto"/>
        <w:bottom w:val="none" w:sz="0" w:space="0" w:color="auto"/>
        <w:right w:val="none" w:sz="0" w:space="0" w:color="auto"/>
      </w:divBdr>
    </w:div>
    <w:div w:id="977567232">
      <w:bodyDiv w:val="1"/>
      <w:marLeft w:val="0"/>
      <w:marRight w:val="0"/>
      <w:marTop w:val="0"/>
      <w:marBottom w:val="0"/>
      <w:divBdr>
        <w:top w:val="none" w:sz="0" w:space="0" w:color="auto"/>
        <w:left w:val="none" w:sz="0" w:space="0" w:color="auto"/>
        <w:bottom w:val="none" w:sz="0" w:space="0" w:color="auto"/>
        <w:right w:val="none" w:sz="0" w:space="0" w:color="auto"/>
      </w:divBdr>
    </w:div>
    <w:div w:id="982273455">
      <w:bodyDiv w:val="1"/>
      <w:marLeft w:val="0"/>
      <w:marRight w:val="0"/>
      <w:marTop w:val="0"/>
      <w:marBottom w:val="0"/>
      <w:divBdr>
        <w:top w:val="none" w:sz="0" w:space="0" w:color="auto"/>
        <w:left w:val="none" w:sz="0" w:space="0" w:color="auto"/>
        <w:bottom w:val="none" w:sz="0" w:space="0" w:color="auto"/>
        <w:right w:val="none" w:sz="0" w:space="0" w:color="auto"/>
      </w:divBdr>
    </w:div>
    <w:div w:id="983924607">
      <w:bodyDiv w:val="1"/>
      <w:marLeft w:val="0"/>
      <w:marRight w:val="0"/>
      <w:marTop w:val="0"/>
      <w:marBottom w:val="0"/>
      <w:divBdr>
        <w:top w:val="none" w:sz="0" w:space="0" w:color="auto"/>
        <w:left w:val="none" w:sz="0" w:space="0" w:color="auto"/>
        <w:bottom w:val="none" w:sz="0" w:space="0" w:color="auto"/>
        <w:right w:val="none" w:sz="0" w:space="0" w:color="auto"/>
      </w:divBdr>
    </w:div>
    <w:div w:id="1155686923">
      <w:bodyDiv w:val="1"/>
      <w:marLeft w:val="0"/>
      <w:marRight w:val="0"/>
      <w:marTop w:val="0"/>
      <w:marBottom w:val="0"/>
      <w:divBdr>
        <w:top w:val="none" w:sz="0" w:space="0" w:color="auto"/>
        <w:left w:val="none" w:sz="0" w:space="0" w:color="auto"/>
        <w:bottom w:val="none" w:sz="0" w:space="0" w:color="auto"/>
        <w:right w:val="none" w:sz="0" w:space="0" w:color="auto"/>
      </w:divBdr>
    </w:div>
    <w:div w:id="1332412842">
      <w:bodyDiv w:val="1"/>
      <w:marLeft w:val="0"/>
      <w:marRight w:val="0"/>
      <w:marTop w:val="0"/>
      <w:marBottom w:val="0"/>
      <w:divBdr>
        <w:top w:val="none" w:sz="0" w:space="0" w:color="auto"/>
        <w:left w:val="none" w:sz="0" w:space="0" w:color="auto"/>
        <w:bottom w:val="none" w:sz="0" w:space="0" w:color="auto"/>
        <w:right w:val="none" w:sz="0" w:space="0" w:color="auto"/>
      </w:divBdr>
    </w:div>
    <w:div w:id="1364601267">
      <w:bodyDiv w:val="1"/>
      <w:marLeft w:val="0"/>
      <w:marRight w:val="0"/>
      <w:marTop w:val="0"/>
      <w:marBottom w:val="0"/>
      <w:divBdr>
        <w:top w:val="none" w:sz="0" w:space="0" w:color="auto"/>
        <w:left w:val="none" w:sz="0" w:space="0" w:color="auto"/>
        <w:bottom w:val="none" w:sz="0" w:space="0" w:color="auto"/>
        <w:right w:val="none" w:sz="0" w:space="0" w:color="auto"/>
      </w:divBdr>
    </w:div>
    <w:div w:id="1559243540">
      <w:bodyDiv w:val="1"/>
      <w:marLeft w:val="0"/>
      <w:marRight w:val="0"/>
      <w:marTop w:val="0"/>
      <w:marBottom w:val="0"/>
      <w:divBdr>
        <w:top w:val="none" w:sz="0" w:space="0" w:color="auto"/>
        <w:left w:val="none" w:sz="0" w:space="0" w:color="auto"/>
        <w:bottom w:val="none" w:sz="0" w:space="0" w:color="auto"/>
        <w:right w:val="none" w:sz="0" w:space="0" w:color="auto"/>
      </w:divBdr>
    </w:div>
    <w:div w:id="1602639723">
      <w:bodyDiv w:val="1"/>
      <w:marLeft w:val="0"/>
      <w:marRight w:val="0"/>
      <w:marTop w:val="0"/>
      <w:marBottom w:val="0"/>
      <w:divBdr>
        <w:top w:val="none" w:sz="0" w:space="0" w:color="auto"/>
        <w:left w:val="none" w:sz="0" w:space="0" w:color="auto"/>
        <w:bottom w:val="none" w:sz="0" w:space="0" w:color="auto"/>
        <w:right w:val="none" w:sz="0" w:space="0" w:color="auto"/>
      </w:divBdr>
    </w:div>
    <w:div w:id="1779372449">
      <w:bodyDiv w:val="1"/>
      <w:marLeft w:val="0"/>
      <w:marRight w:val="0"/>
      <w:marTop w:val="0"/>
      <w:marBottom w:val="0"/>
      <w:divBdr>
        <w:top w:val="none" w:sz="0" w:space="0" w:color="auto"/>
        <w:left w:val="none" w:sz="0" w:space="0" w:color="auto"/>
        <w:bottom w:val="none" w:sz="0" w:space="0" w:color="auto"/>
        <w:right w:val="none" w:sz="0" w:space="0" w:color="auto"/>
      </w:divBdr>
    </w:div>
    <w:div w:id="1896626556">
      <w:bodyDiv w:val="1"/>
      <w:marLeft w:val="0"/>
      <w:marRight w:val="0"/>
      <w:marTop w:val="0"/>
      <w:marBottom w:val="0"/>
      <w:divBdr>
        <w:top w:val="none" w:sz="0" w:space="0" w:color="auto"/>
        <w:left w:val="none" w:sz="0" w:space="0" w:color="auto"/>
        <w:bottom w:val="none" w:sz="0" w:space="0" w:color="auto"/>
        <w:right w:val="none" w:sz="0" w:space="0" w:color="auto"/>
      </w:divBdr>
    </w:div>
    <w:div w:id="1912302790">
      <w:bodyDiv w:val="1"/>
      <w:marLeft w:val="0"/>
      <w:marRight w:val="0"/>
      <w:marTop w:val="0"/>
      <w:marBottom w:val="0"/>
      <w:divBdr>
        <w:top w:val="none" w:sz="0" w:space="0" w:color="auto"/>
        <w:left w:val="none" w:sz="0" w:space="0" w:color="auto"/>
        <w:bottom w:val="none" w:sz="0" w:space="0" w:color="auto"/>
        <w:right w:val="none" w:sz="0" w:space="0" w:color="auto"/>
      </w:divBdr>
    </w:div>
    <w:div w:id="198361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1103</Words>
  <Characters>6069</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11</cp:revision>
  <cp:lastPrinted>2021-09-15T18:01:00Z</cp:lastPrinted>
  <dcterms:created xsi:type="dcterms:W3CDTF">2023-05-30T20:13:00Z</dcterms:created>
  <dcterms:modified xsi:type="dcterms:W3CDTF">2024-07-26T21:58:00Z</dcterms:modified>
</cp:coreProperties>
</file>