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80"/>
        <w:ind w:left="0" w:right="178" w:firstLine="0"/>
        <w:jc w:val="right"/>
      </w:pPr>
      <w:r>
        <w:rPr>
          <w:w w:val="99"/>
        </w:rPr>
        <w:t>1</w:t>
      </w:r>
    </w:p>
    <w:p>
      <w:pPr>
        <w:pStyle w:val="BodyText"/>
        <w:rPr>
          <w:sz w:val="20"/>
        </w:rPr>
      </w:pPr>
    </w:p>
    <w:p>
      <w:pPr>
        <w:spacing w:before="232"/>
        <w:ind w:left="3445" w:right="817" w:hanging="2696"/>
        <w:jc w:val="left"/>
        <w:rPr>
          <w:b/>
          <w:sz w:val="22"/>
        </w:rPr>
      </w:pPr>
      <w:r>
        <w:rPr>
          <w:b/>
          <w:sz w:val="22"/>
          <w:u w:val="thick"/>
        </w:rPr>
        <w:t>Caso Comunidad Indígena Yakye Axa </w:t>
      </w:r>
      <w:r>
        <w:rPr>
          <w:b/>
          <w:i/>
          <w:sz w:val="22"/>
          <w:u w:val="thick"/>
        </w:rPr>
        <w:t>Vs. </w:t>
      </w:r>
      <w:r>
        <w:rPr>
          <w:b/>
          <w:sz w:val="22"/>
          <w:u w:val="thick"/>
        </w:rPr>
        <w:t>Paraguay: reparaciones declaradas cumplidas</w:t>
      </w:r>
    </w:p>
    <w:p>
      <w:pPr>
        <w:pStyle w:val="BodyText"/>
        <w:rPr>
          <w:b/>
          <w:sz w:val="20"/>
        </w:rPr>
      </w:pPr>
    </w:p>
    <w:p>
      <w:pPr>
        <w:pStyle w:val="BodyText"/>
        <w:rPr>
          <w:b/>
        </w:rPr>
      </w:pPr>
    </w:p>
    <w:p>
      <w:pPr>
        <w:pStyle w:val="Heading2"/>
        <w:numPr>
          <w:ilvl w:val="0"/>
          <w:numId w:val="1"/>
        </w:numPr>
        <w:tabs>
          <w:tab w:pos="463" w:val="left" w:leader="none"/>
        </w:tabs>
        <w:spacing w:line="240" w:lineRule="auto" w:before="99" w:after="0"/>
        <w:ind w:left="461" w:right="0" w:hanging="359"/>
        <w:jc w:val="left"/>
      </w:pPr>
      <w:r>
        <w:rPr/>
        <w:t>Realizar un acto público de reconocimiento de su</w:t>
      </w:r>
      <w:r>
        <w:rPr>
          <w:spacing w:val="-29"/>
        </w:rPr>
        <w:t> </w:t>
      </w:r>
      <w:r>
        <w:rPr/>
        <w:t>responsabilidad.</w:t>
      </w:r>
    </w:p>
    <w:p>
      <w:pPr>
        <w:pStyle w:val="BodyText"/>
        <w:spacing w:before="10"/>
        <w:rPr>
          <w:sz w:val="19"/>
        </w:rPr>
      </w:pPr>
    </w:p>
    <w:p>
      <w:pPr>
        <w:pStyle w:val="ListParagraph"/>
        <w:numPr>
          <w:ilvl w:val="0"/>
          <w:numId w:val="1"/>
        </w:numPr>
        <w:tabs>
          <w:tab w:pos="463" w:val="left" w:leader="none"/>
        </w:tabs>
        <w:spacing w:line="240" w:lineRule="auto" w:before="0" w:after="0"/>
        <w:ind w:left="461" w:right="175" w:hanging="359"/>
        <w:jc w:val="both"/>
        <w:rPr>
          <w:sz w:val="20"/>
        </w:rPr>
      </w:pPr>
      <w:r>
        <w:rPr>
          <w:sz w:val="20"/>
        </w:rPr>
        <w:t>Efectuar los pagos por concepto de daño material y costas y gastos dentro del plazo de un año, contado a partir de la notificación del presente fallo, en los términos de los párrafos 195 y 232 de esta</w:t>
      </w:r>
      <w:r>
        <w:rPr>
          <w:spacing w:val="-17"/>
          <w:sz w:val="20"/>
        </w:rPr>
        <w:t> </w:t>
      </w:r>
      <w:r>
        <w:rPr>
          <w:sz w:val="20"/>
        </w:rPr>
        <w:t>Sentencia.</w:t>
      </w:r>
    </w:p>
    <w:p>
      <w:pPr>
        <w:pStyle w:val="BodyText"/>
        <w:spacing w:before="10"/>
        <w:rPr>
          <w:sz w:val="19"/>
        </w:rPr>
      </w:pPr>
    </w:p>
    <w:p>
      <w:pPr>
        <w:spacing w:before="0"/>
        <w:ind w:left="100" w:right="0" w:firstLine="0"/>
        <w:jc w:val="left"/>
        <w:rPr>
          <w:b/>
          <w:sz w:val="20"/>
        </w:rPr>
      </w:pPr>
      <w:r>
        <w:rPr>
          <w:b/>
          <w:sz w:val="20"/>
          <w:u w:val="thick"/>
        </w:rPr>
        <w:t>Cumplimiento parcial</w:t>
      </w:r>
    </w:p>
    <w:p>
      <w:pPr>
        <w:pStyle w:val="BodyText"/>
        <w:spacing w:before="10"/>
        <w:rPr>
          <w:b/>
          <w:sz w:val="11"/>
        </w:rPr>
      </w:pPr>
    </w:p>
    <w:p>
      <w:pPr>
        <w:pStyle w:val="ListParagraph"/>
        <w:numPr>
          <w:ilvl w:val="0"/>
          <w:numId w:val="2"/>
        </w:numPr>
        <w:tabs>
          <w:tab w:pos="463" w:val="left" w:leader="none"/>
        </w:tabs>
        <w:spacing w:line="240" w:lineRule="auto" w:before="100" w:after="0"/>
        <w:ind w:left="461" w:right="0" w:hanging="359"/>
        <w:jc w:val="left"/>
        <w:rPr>
          <w:sz w:val="20"/>
        </w:rPr>
      </w:pPr>
      <w:r>
        <w:rPr>
          <w:sz w:val="20"/>
        </w:rPr>
        <w:t>Publicación y difusión de la Sentencia y su resumen</w:t>
      </w:r>
      <w:r>
        <w:rPr>
          <w:spacing w:val="-27"/>
          <w:sz w:val="20"/>
        </w:rPr>
        <w:t> </w:t>
      </w:r>
      <w:r>
        <w:rPr>
          <w:sz w:val="20"/>
        </w:rPr>
        <w:t>oficial.</w:t>
      </w:r>
    </w:p>
    <w:p>
      <w:pPr>
        <w:pStyle w:val="BodyText"/>
        <w:spacing w:before="11"/>
        <w:rPr>
          <w:sz w:val="18"/>
        </w:rPr>
      </w:pPr>
    </w:p>
    <w:p>
      <w:pPr>
        <w:spacing w:before="0"/>
        <w:ind w:left="462" w:right="177" w:firstLine="0"/>
        <w:jc w:val="both"/>
        <w:rPr>
          <w:sz w:val="20"/>
        </w:rPr>
      </w:pPr>
      <w:r>
        <w:rPr>
          <w:sz w:val="20"/>
        </w:rPr>
        <w:t>En la resolución de la Corte de 30 de agosto de 2017 se declaró el cumplimiento de la publicación en el diario oficial, así como la financiación de la transmisión radial de la Sentencia, quedando pendiente de cumplimiento la publicación de determinadas partes de la Sentencia en un diario de circulación nacional.</w:t>
      </w:r>
    </w:p>
    <w:p>
      <w:pPr>
        <w:pStyle w:val="BodyText"/>
        <w:spacing w:before="10"/>
        <w:rPr>
          <w:sz w:val="19"/>
        </w:rPr>
      </w:pPr>
    </w:p>
    <w:p>
      <w:pPr>
        <w:pStyle w:val="ListParagraph"/>
        <w:numPr>
          <w:ilvl w:val="0"/>
          <w:numId w:val="2"/>
        </w:numPr>
        <w:tabs>
          <w:tab w:pos="463" w:val="left" w:leader="none"/>
        </w:tabs>
        <w:spacing w:line="240" w:lineRule="auto" w:before="1" w:after="0"/>
        <w:ind w:left="461" w:right="179" w:hanging="359"/>
        <w:jc w:val="both"/>
        <w:rPr>
          <w:sz w:val="20"/>
        </w:rPr>
      </w:pPr>
      <w:r>
        <w:rPr>
          <w:sz w:val="20"/>
        </w:rPr>
        <w:t>Crear</w:t>
      </w:r>
      <w:r>
        <w:rPr>
          <w:spacing w:val="-8"/>
          <w:sz w:val="20"/>
        </w:rPr>
        <w:t> </w:t>
      </w:r>
      <w:r>
        <w:rPr>
          <w:sz w:val="20"/>
        </w:rPr>
        <w:t>un</w:t>
      </w:r>
      <w:r>
        <w:rPr>
          <w:spacing w:val="-5"/>
          <w:sz w:val="20"/>
        </w:rPr>
        <w:t> </w:t>
      </w:r>
      <w:r>
        <w:rPr>
          <w:sz w:val="20"/>
        </w:rPr>
        <w:t>programa</w:t>
      </w:r>
      <w:r>
        <w:rPr>
          <w:spacing w:val="-6"/>
          <w:sz w:val="20"/>
        </w:rPr>
        <w:t> </w:t>
      </w:r>
      <w:r>
        <w:rPr>
          <w:sz w:val="20"/>
        </w:rPr>
        <w:t>y</w:t>
      </w:r>
      <w:r>
        <w:rPr>
          <w:spacing w:val="-7"/>
          <w:sz w:val="20"/>
        </w:rPr>
        <w:t> </w:t>
      </w:r>
      <w:r>
        <w:rPr>
          <w:sz w:val="20"/>
        </w:rPr>
        <w:t>un</w:t>
      </w:r>
      <w:r>
        <w:rPr>
          <w:spacing w:val="-3"/>
          <w:sz w:val="20"/>
        </w:rPr>
        <w:t> </w:t>
      </w:r>
      <w:r>
        <w:rPr>
          <w:sz w:val="20"/>
        </w:rPr>
        <w:t>fondo</w:t>
      </w:r>
      <w:r>
        <w:rPr>
          <w:spacing w:val="-8"/>
          <w:sz w:val="20"/>
        </w:rPr>
        <w:t> </w:t>
      </w:r>
      <w:r>
        <w:rPr>
          <w:sz w:val="20"/>
        </w:rPr>
        <w:t>de</w:t>
      </w:r>
      <w:r>
        <w:rPr>
          <w:spacing w:val="-8"/>
          <w:sz w:val="20"/>
        </w:rPr>
        <w:t> </w:t>
      </w:r>
      <w:r>
        <w:rPr>
          <w:sz w:val="20"/>
        </w:rPr>
        <w:t>desarrollo</w:t>
      </w:r>
      <w:r>
        <w:rPr>
          <w:spacing w:val="-8"/>
          <w:sz w:val="20"/>
        </w:rPr>
        <w:t> </w:t>
      </w:r>
      <w:r>
        <w:rPr>
          <w:sz w:val="20"/>
        </w:rPr>
        <w:t>comunitario</w:t>
      </w:r>
      <w:r>
        <w:rPr>
          <w:spacing w:val="-8"/>
          <w:sz w:val="20"/>
        </w:rPr>
        <w:t> </w:t>
      </w:r>
      <w:r>
        <w:rPr>
          <w:sz w:val="20"/>
        </w:rPr>
        <w:t>que</w:t>
      </w:r>
      <w:r>
        <w:rPr>
          <w:spacing w:val="-8"/>
          <w:sz w:val="20"/>
        </w:rPr>
        <w:t> </w:t>
      </w:r>
      <w:r>
        <w:rPr>
          <w:sz w:val="20"/>
        </w:rPr>
        <w:t>serán</w:t>
      </w:r>
      <w:r>
        <w:rPr>
          <w:spacing w:val="-5"/>
          <w:sz w:val="20"/>
        </w:rPr>
        <w:t> </w:t>
      </w:r>
      <w:r>
        <w:rPr>
          <w:sz w:val="20"/>
        </w:rPr>
        <w:t>implementados</w:t>
      </w:r>
      <w:r>
        <w:rPr>
          <w:spacing w:val="-7"/>
          <w:sz w:val="20"/>
        </w:rPr>
        <w:t> </w:t>
      </w:r>
      <w:r>
        <w:rPr>
          <w:sz w:val="20"/>
        </w:rPr>
        <w:t>en</w:t>
      </w:r>
      <w:r>
        <w:rPr>
          <w:spacing w:val="-5"/>
          <w:sz w:val="20"/>
        </w:rPr>
        <w:t> </w:t>
      </w:r>
      <w:r>
        <w:rPr>
          <w:sz w:val="20"/>
        </w:rPr>
        <w:t>las tierras que se entreguen a los miembros de la Comunidad Yakye Axa, en los términos de los párrafos 205 y 206 de la presente</w:t>
      </w:r>
      <w:r>
        <w:rPr>
          <w:spacing w:val="-17"/>
          <w:sz w:val="20"/>
        </w:rPr>
        <w:t> </w:t>
      </w:r>
      <w:r>
        <w:rPr>
          <w:sz w:val="20"/>
        </w:rPr>
        <w:t>Sentencia.</w:t>
      </w:r>
    </w:p>
    <w:p>
      <w:pPr>
        <w:pStyle w:val="BodyText"/>
        <w:spacing w:before="11"/>
        <w:rPr>
          <w:sz w:val="19"/>
        </w:rPr>
      </w:pPr>
    </w:p>
    <w:p>
      <w:pPr>
        <w:spacing w:before="0"/>
        <w:ind w:left="461" w:right="176" w:hanging="1"/>
        <w:jc w:val="both"/>
        <w:rPr>
          <w:sz w:val="20"/>
        </w:rPr>
      </w:pPr>
      <w:r>
        <w:rPr>
          <w:sz w:val="20"/>
        </w:rPr>
        <w:t>En el Considerando 52 de la resolución de la Corte de 24 de junio de 2022 se explica lo que continúa pendiente de cumplimiento respecto a la presente medida de reparación:</w:t>
      </w:r>
    </w:p>
    <w:p>
      <w:pPr>
        <w:pStyle w:val="BodyText"/>
        <w:spacing w:before="9"/>
        <w:rPr>
          <w:sz w:val="19"/>
        </w:rPr>
      </w:pPr>
    </w:p>
    <w:p>
      <w:pPr>
        <w:pStyle w:val="BodyText"/>
        <w:spacing w:before="1"/>
        <w:ind w:left="1232" w:right="174"/>
        <w:jc w:val="both"/>
      </w:pPr>
      <w:r>
        <w:rPr/>
        <w:t>52. En consecuencia, la Corte considera que se encuentra parcialmente cumplida la medida ordenada en</w:t>
      </w:r>
      <w:r>
        <w:rPr>
          <w:spacing w:val="-4"/>
        </w:rPr>
        <w:t> </w:t>
      </w:r>
      <w:r>
        <w:rPr/>
        <w:t>el</w:t>
      </w:r>
      <w:r>
        <w:rPr>
          <w:spacing w:val="-4"/>
        </w:rPr>
        <w:t> </w:t>
      </w:r>
      <w:r>
        <w:rPr/>
        <w:t>punto</w:t>
      </w:r>
      <w:r>
        <w:rPr>
          <w:spacing w:val="-5"/>
        </w:rPr>
        <w:t> </w:t>
      </w:r>
      <w:r>
        <w:rPr/>
        <w:t>resolutivo</w:t>
      </w:r>
      <w:r>
        <w:rPr>
          <w:spacing w:val="-3"/>
        </w:rPr>
        <w:t> </w:t>
      </w:r>
      <w:r>
        <w:rPr/>
        <w:t>noveno</w:t>
      </w:r>
      <w:r>
        <w:rPr>
          <w:spacing w:val="-5"/>
        </w:rPr>
        <w:t> </w:t>
      </w:r>
      <w:r>
        <w:rPr/>
        <w:t>de</w:t>
      </w:r>
      <w:r>
        <w:rPr>
          <w:spacing w:val="-3"/>
        </w:rPr>
        <w:t> </w:t>
      </w:r>
      <w:r>
        <w:rPr/>
        <w:t>la</w:t>
      </w:r>
      <w:r>
        <w:rPr>
          <w:spacing w:val="-4"/>
        </w:rPr>
        <w:t> </w:t>
      </w:r>
      <w:r>
        <w:rPr/>
        <w:t>Sentencia,</w:t>
      </w:r>
      <w:r>
        <w:rPr>
          <w:spacing w:val="-4"/>
        </w:rPr>
        <w:t> </w:t>
      </w:r>
      <w:r>
        <w:rPr/>
        <w:t>relativa</w:t>
      </w:r>
      <w:r>
        <w:rPr>
          <w:spacing w:val="-4"/>
        </w:rPr>
        <w:t> </w:t>
      </w:r>
      <w:r>
        <w:rPr/>
        <w:t>a</w:t>
      </w:r>
      <w:r>
        <w:rPr>
          <w:spacing w:val="-4"/>
        </w:rPr>
        <w:t> </w:t>
      </w:r>
      <w:r>
        <w:rPr/>
        <w:t>crear</w:t>
      </w:r>
      <w:r>
        <w:rPr>
          <w:spacing w:val="-3"/>
        </w:rPr>
        <w:t> </w:t>
      </w:r>
      <w:r>
        <w:rPr/>
        <w:t>un</w:t>
      </w:r>
      <w:r>
        <w:rPr>
          <w:spacing w:val="-4"/>
        </w:rPr>
        <w:t> </w:t>
      </w:r>
      <w:r>
        <w:rPr/>
        <w:t>fondo</w:t>
      </w:r>
      <w:r>
        <w:rPr>
          <w:spacing w:val="-3"/>
        </w:rPr>
        <w:t> </w:t>
      </w:r>
      <w:r>
        <w:rPr/>
        <w:t>de</w:t>
      </w:r>
      <w:r>
        <w:rPr>
          <w:spacing w:val="-3"/>
        </w:rPr>
        <w:t> </w:t>
      </w:r>
      <w:r>
        <w:rPr/>
        <w:t>desarrollo</w:t>
      </w:r>
      <w:r>
        <w:rPr>
          <w:spacing w:val="-5"/>
        </w:rPr>
        <w:t> </w:t>
      </w:r>
      <w:r>
        <w:rPr/>
        <w:t>comunitario</w:t>
      </w:r>
      <w:r>
        <w:rPr>
          <w:spacing w:val="-3"/>
        </w:rPr>
        <w:t> </w:t>
      </w:r>
      <w:r>
        <w:rPr/>
        <w:t>que será implementado en las tierras que se entreguen a los miembros de la Comunidad Yakye Axa. En ese sentido, se encuentra pendiente de cumplimiento el extremo relativo al programa para el suministro de agua potable e infraestructura sanitaria” en las tierras de la Comunidad (supra Considerandos 43 y 51), así como que el Estado remita la información que ha sido requerida en los Considerandos</w:t>
      </w:r>
      <w:r>
        <w:rPr>
          <w:spacing w:val="-7"/>
        </w:rPr>
        <w:t> </w:t>
      </w:r>
      <w:r>
        <w:rPr/>
        <w:t>45</w:t>
      </w:r>
      <w:r>
        <w:rPr>
          <w:spacing w:val="-6"/>
        </w:rPr>
        <w:t> </w:t>
      </w:r>
      <w:r>
        <w:rPr/>
        <w:t>y</w:t>
      </w:r>
      <w:r>
        <w:rPr>
          <w:spacing w:val="-6"/>
        </w:rPr>
        <w:t> </w:t>
      </w:r>
      <w:r>
        <w:rPr/>
        <w:t>49,</w:t>
      </w:r>
      <w:r>
        <w:rPr>
          <w:spacing w:val="-6"/>
        </w:rPr>
        <w:t> </w:t>
      </w:r>
      <w:r>
        <w:rPr/>
        <w:t>en</w:t>
      </w:r>
      <w:r>
        <w:rPr>
          <w:spacing w:val="-8"/>
        </w:rPr>
        <w:t> </w:t>
      </w:r>
      <w:r>
        <w:rPr/>
        <w:t>relación</w:t>
      </w:r>
      <w:r>
        <w:rPr>
          <w:spacing w:val="-6"/>
        </w:rPr>
        <w:t> </w:t>
      </w:r>
      <w:r>
        <w:rPr/>
        <w:t>con</w:t>
      </w:r>
      <w:r>
        <w:rPr>
          <w:spacing w:val="-6"/>
        </w:rPr>
        <w:t> </w:t>
      </w:r>
      <w:r>
        <w:rPr/>
        <w:t>el</w:t>
      </w:r>
      <w:r>
        <w:rPr>
          <w:spacing w:val="-6"/>
        </w:rPr>
        <w:t> </w:t>
      </w:r>
      <w:r>
        <w:rPr/>
        <w:t>tipo</w:t>
      </w:r>
      <w:r>
        <w:rPr>
          <w:spacing w:val="-7"/>
        </w:rPr>
        <w:t> </w:t>
      </w:r>
      <w:r>
        <w:rPr/>
        <w:t>de</w:t>
      </w:r>
      <w:r>
        <w:rPr>
          <w:spacing w:val="-7"/>
        </w:rPr>
        <w:t> </w:t>
      </w:r>
      <w:r>
        <w:rPr/>
        <w:t>cambio</w:t>
      </w:r>
      <w:r>
        <w:rPr>
          <w:spacing w:val="-4"/>
        </w:rPr>
        <w:t> </w:t>
      </w:r>
      <w:r>
        <w:rPr/>
        <w:t>utilizado</w:t>
      </w:r>
      <w:r>
        <w:rPr>
          <w:spacing w:val="-4"/>
        </w:rPr>
        <w:t> </w:t>
      </w:r>
      <w:r>
        <w:rPr/>
        <w:t>y</w:t>
      </w:r>
      <w:r>
        <w:rPr>
          <w:spacing w:val="-4"/>
        </w:rPr>
        <w:t> </w:t>
      </w:r>
      <w:r>
        <w:rPr/>
        <w:t>el</w:t>
      </w:r>
      <w:r>
        <w:rPr>
          <w:spacing w:val="-8"/>
        </w:rPr>
        <w:t> </w:t>
      </w:r>
      <w:r>
        <w:rPr/>
        <w:t>reintegro</w:t>
      </w:r>
      <w:r>
        <w:rPr>
          <w:spacing w:val="-4"/>
        </w:rPr>
        <w:t> </w:t>
      </w:r>
      <w:r>
        <w:rPr/>
        <w:t>al</w:t>
      </w:r>
      <w:r>
        <w:rPr>
          <w:spacing w:val="-6"/>
        </w:rPr>
        <w:t> </w:t>
      </w:r>
      <w:r>
        <w:rPr/>
        <w:t>fondo</w:t>
      </w:r>
      <w:r>
        <w:rPr>
          <w:spacing w:val="-4"/>
        </w:rPr>
        <w:t> </w:t>
      </w:r>
      <w:r>
        <w:rPr/>
        <w:t>de</w:t>
      </w:r>
      <w:r>
        <w:rPr>
          <w:spacing w:val="-5"/>
        </w:rPr>
        <w:t> </w:t>
      </w:r>
      <w:r>
        <w:rPr/>
        <w:t>desarrollo comunitario de los montos que tuvieron que ser usados para atender otros</w:t>
      </w:r>
      <w:r>
        <w:rPr>
          <w:spacing w:val="-24"/>
        </w:rPr>
        <w:t> </w:t>
      </w:r>
      <w:r>
        <w:rPr/>
        <w:t>fines.</w:t>
      </w:r>
    </w:p>
    <w:p>
      <w:pPr>
        <w:pStyle w:val="BodyText"/>
      </w:pPr>
    </w:p>
    <w:p>
      <w:pPr>
        <w:pStyle w:val="Heading1"/>
        <w:rPr>
          <w:u w:val="none"/>
        </w:rPr>
      </w:pPr>
      <w:r>
        <w:rPr>
          <w:u w:val="thick"/>
        </w:rPr>
        <w:t>Medida sobre la cual se ha concluido el proceso de supervisión de cumplimiento</w:t>
      </w:r>
    </w:p>
    <w:p>
      <w:pPr>
        <w:pStyle w:val="BodyText"/>
        <w:spacing w:before="10"/>
        <w:rPr>
          <w:b/>
          <w:sz w:val="11"/>
        </w:rPr>
      </w:pPr>
    </w:p>
    <w:p>
      <w:pPr>
        <w:pStyle w:val="Heading2"/>
        <w:spacing w:before="100"/>
        <w:ind w:left="462" w:right="108" w:hanging="358"/>
      </w:pPr>
      <w:r>
        <w:rPr/>
        <w:t>1. Crear un fondo destinado exclusivamente a la adquisición de las tierras a entregarse a los miembros de la Comunidad indígena Yakye Axa, en un plazo máximo de un año contado a partir de la notificación de la presente Sentencia, en los términos del párrafo 218 de la misma.</w:t>
      </w:r>
    </w:p>
    <w:p>
      <w:pPr>
        <w:pStyle w:val="BodyText"/>
        <w:rPr>
          <w:sz w:val="20"/>
        </w:rPr>
      </w:pPr>
    </w:p>
    <w:p>
      <w:pPr>
        <w:spacing w:before="0"/>
        <w:ind w:left="462" w:right="0" w:firstLine="0"/>
        <w:jc w:val="left"/>
        <w:rPr>
          <w:sz w:val="20"/>
        </w:rPr>
      </w:pPr>
      <w:r>
        <w:rPr>
          <w:sz w:val="20"/>
        </w:rPr>
        <w:t>En el Considerando 39 de la Resolución de 14 de mayo de 2019 se explica la razón por la cual se concluye el proceso de supervisión de cumplimiento:</w:t>
      </w:r>
    </w:p>
    <w:p>
      <w:pPr>
        <w:pStyle w:val="BodyText"/>
        <w:spacing w:before="9"/>
        <w:rPr>
          <w:sz w:val="19"/>
        </w:rPr>
      </w:pPr>
    </w:p>
    <w:p>
      <w:pPr>
        <w:pStyle w:val="BodyText"/>
        <w:ind w:left="1232" w:right="208" w:firstLine="4"/>
        <w:jc w:val="both"/>
      </w:pPr>
      <w:r>
        <w:rPr/>
        <w:t>39.</w:t>
      </w:r>
      <w:r>
        <w:rPr>
          <w:spacing w:val="-14"/>
        </w:rPr>
        <w:t> </w:t>
      </w:r>
      <w:r>
        <w:rPr/>
        <w:t>Considerando</w:t>
      </w:r>
      <w:r>
        <w:rPr>
          <w:spacing w:val="-11"/>
        </w:rPr>
        <w:t> </w:t>
      </w:r>
      <w:r>
        <w:rPr/>
        <w:t>que</w:t>
      </w:r>
      <w:r>
        <w:rPr>
          <w:spacing w:val="-11"/>
        </w:rPr>
        <w:t> </w:t>
      </w:r>
      <w:r>
        <w:rPr/>
        <w:t>el</w:t>
      </w:r>
      <w:r>
        <w:rPr>
          <w:spacing w:val="-10"/>
        </w:rPr>
        <w:t> </w:t>
      </w:r>
      <w:r>
        <w:rPr/>
        <w:t>Estado</w:t>
      </w:r>
      <w:r>
        <w:rPr>
          <w:spacing w:val="-11"/>
        </w:rPr>
        <w:t> </w:t>
      </w:r>
      <w:r>
        <w:rPr/>
        <w:t>ya</w:t>
      </w:r>
      <w:r>
        <w:rPr>
          <w:spacing w:val="-12"/>
        </w:rPr>
        <w:t> </w:t>
      </w:r>
      <w:r>
        <w:rPr/>
        <w:t>adquirió</w:t>
      </w:r>
      <w:r>
        <w:rPr>
          <w:spacing w:val="-9"/>
        </w:rPr>
        <w:t> </w:t>
      </w:r>
      <w:r>
        <w:rPr/>
        <w:t>las</w:t>
      </w:r>
      <w:r>
        <w:rPr>
          <w:spacing w:val="-12"/>
        </w:rPr>
        <w:t> </w:t>
      </w:r>
      <w:r>
        <w:rPr/>
        <w:t>tierras</w:t>
      </w:r>
      <w:r>
        <w:rPr>
          <w:spacing w:val="-11"/>
        </w:rPr>
        <w:t> </w:t>
      </w:r>
      <w:r>
        <w:rPr/>
        <w:t>alternativas</w:t>
      </w:r>
      <w:r>
        <w:rPr>
          <w:spacing w:val="-10"/>
        </w:rPr>
        <w:t> </w:t>
      </w:r>
      <w:r>
        <w:rPr/>
        <w:t>destinadas</w:t>
      </w:r>
      <w:r>
        <w:rPr>
          <w:spacing w:val="-11"/>
        </w:rPr>
        <w:t> </w:t>
      </w:r>
      <w:r>
        <w:rPr/>
        <w:t>a</w:t>
      </w:r>
      <w:r>
        <w:rPr>
          <w:spacing w:val="-10"/>
        </w:rPr>
        <w:t> </w:t>
      </w:r>
      <w:r>
        <w:rPr/>
        <w:t>la</w:t>
      </w:r>
      <w:r>
        <w:rPr>
          <w:spacing w:val="-12"/>
        </w:rPr>
        <w:t> </w:t>
      </w:r>
      <w:r>
        <w:rPr/>
        <w:t>Comunidad</w:t>
      </w:r>
      <w:r>
        <w:rPr>
          <w:spacing w:val="-11"/>
        </w:rPr>
        <w:t> </w:t>
      </w:r>
      <w:r>
        <w:rPr/>
        <w:t>indígena Yakye Axa, las cuales se encuentran actualmente a nombre del Instituto Paraguayo del Indígena y pendientes de titulación a nombre de la comunidad (</w:t>
      </w:r>
      <w:r>
        <w:rPr>
          <w:i/>
        </w:rPr>
        <w:t>supra </w:t>
      </w:r>
      <w:r>
        <w:rPr/>
        <w:t>Considerandos 17 y 19), la Corte declara concluida la supervisión de cumplimiento del punto resolutivo octavo de la</w:t>
      </w:r>
      <w:r>
        <w:rPr>
          <w:spacing w:val="-39"/>
        </w:rPr>
        <w:t> </w:t>
      </w:r>
      <w:r>
        <w:rPr/>
        <w:t>Sentencia.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spacing w:before="101"/>
        <w:ind w:left="100" w:right="173"/>
        <w:jc w:val="both"/>
      </w:pPr>
      <w:r>
        <w:rPr/>
        <w:t>La presente sistematización de información fue realizada por la Secretaría de la Corte Interamericana de Derechos Humanos,</w:t>
      </w:r>
      <w:r>
        <w:rPr>
          <w:spacing w:val="-16"/>
        </w:rPr>
        <w:t> </w:t>
      </w:r>
      <w:r>
        <w:rPr/>
        <w:t>por</w:t>
      </w:r>
      <w:r>
        <w:rPr>
          <w:spacing w:val="-17"/>
        </w:rPr>
        <w:t> </w:t>
      </w:r>
      <w:r>
        <w:rPr/>
        <w:t>lo</w:t>
      </w:r>
      <w:r>
        <w:rPr>
          <w:spacing w:val="-17"/>
        </w:rPr>
        <w:t> </w:t>
      </w:r>
      <w:r>
        <w:rPr/>
        <w:t>que</w:t>
      </w:r>
      <w:r>
        <w:rPr>
          <w:spacing w:val="-15"/>
        </w:rPr>
        <w:t> </w:t>
      </w:r>
      <w:r>
        <w:rPr/>
        <w:t>es</w:t>
      </w:r>
      <w:r>
        <w:rPr>
          <w:spacing w:val="-18"/>
        </w:rPr>
        <w:t> </w:t>
      </w:r>
      <w:r>
        <w:rPr/>
        <w:t>responsabilidad</w:t>
      </w:r>
      <w:r>
        <w:rPr>
          <w:spacing w:val="-15"/>
        </w:rPr>
        <w:t> </w:t>
      </w:r>
      <w:r>
        <w:rPr/>
        <w:t>exclusiva</w:t>
      </w:r>
      <w:r>
        <w:rPr>
          <w:spacing w:val="-18"/>
        </w:rPr>
        <w:t> </w:t>
      </w:r>
      <w:r>
        <w:rPr/>
        <w:t>de</w:t>
      </w:r>
      <w:r>
        <w:rPr>
          <w:spacing w:val="-18"/>
        </w:rPr>
        <w:t> </w:t>
      </w:r>
      <w:r>
        <w:rPr/>
        <w:t>la</w:t>
      </w:r>
      <w:r>
        <w:rPr>
          <w:spacing w:val="-16"/>
        </w:rPr>
        <w:t> </w:t>
      </w:r>
      <w:r>
        <w:rPr/>
        <w:t>misma.</w:t>
      </w:r>
      <w:r>
        <w:rPr>
          <w:spacing w:val="-16"/>
        </w:rPr>
        <w:t> </w:t>
      </w:r>
      <w:r>
        <w:rPr/>
        <w:t>La</w:t>
      </w:r>
      <w:r>
        <w:rPr>
          <w:spacing w:val="-16"/>
        </w:rPr>
        <w:t> </w:t>
      </w:r>
      <w:r>
        <w:rPr/>
        <w:t>información</w:t>
      </w:r>
      <w:r>
        <w:rPr>
          <w:spacing w:val="-19"/>
        </w:rPr>
        <w:t> </w:t>
      </w:r>
      <w:r>
        <w:rPr/>
        <w:t>se</w:t>
      </w:r>
      <w:r>
        <w:rPr>
          <w:spacing w:val="-18"/>
        </w:rPr>
        <w:t> </w:t>
      </w:r>
      <w:r>
        <w:rPr/>
        <w:t>basa</w:t>
      </w:r>
      <w:r>
        <w:rPr>
          <w:spacing w:val="-18"/>
        </w:rPr>
        <w:t> </w:t>
      </w:r>
      <w:r>
        <w:rPr/>
        <w:t>en</w:t>
      </w:r>
      <w:r>
        <w:rPr>
          <w:spacing w:val="-16"/>
        </w:rPr>
        <w:t> </w:t>
      </w:r>
      <w:r>
        <w:rPr/>
        <w:t>lo</w:t>
      </w:r>
      <w:r>
        <w:rPr>
          <w:spacing w:val="-17"/>
        </w:rPr>
        <w:t> </w:t>
      </w:r>
      <w:r>
        <w:rPr/>
        <w:t>declarado</w:t>
      </w:r>
      <w:r>
        <w:rPr>
          <w:spacing w:val="-15"/>
        </w:rPr>
        <w:t> </w:t>
      </w:r>
      <w:r>
        <w:rPr/>
        <w:t>en</w:t>
      </w:r>
      <w:r>
        <w:rPr>
          <w:spacing w:val="-19"/>
        </w:rPr>
        <w:t> </w:t>
      </w:r>
      <w:r>
        <w:rPr/>
        <w:t>resoluciones emitidas por esta Corte. Por tanto, en los expedientes puede haber información aportada por las partes que aún no haya sido evaluada por el</w:t>
      </w:r>
      <w:r>
        <w:rPr>
          <w:spacing w:val="-14"/>
        </w:rPr>
        <w:t> </w:t>
      </w:r>
      <w:r>
        <w:rPr/>
        <w:t>Tribunal.</w:t>
      </w:r>
    </w:p>
    <w:sectPr>
      <w:type w:val="continuous"/>
      <w:pgSz w:w="12240" w:h="15840"/>
      <w:pgMar w:top="640" w:bottom="28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1" w:hanging="360"/>
        <w:jc w:val="left"/>
      </w:pPr>
      <w:rPr>
        <w:rFonts w:hint="default" w:ascii="Verdana" w:hAnsi="Verdana" w:eastAsia="Verdana" w:cs="Verdana"/>
        <w:w w:val="99"/>
        <w:sz w:val="20"/>
        <w:szCs w:val="20"/>
      </w:rPr>
    </w:lvl>
    <w:lvl w:ilvl="1">
      <w:start w:val="0"/>
      <w:numFmt w:val="bullet"/>
      <w:lvlText w:val="•"/>
      <w:lvlJc w:val="left"/>
      <w:pPr>
        <w:ind w:left="1240" w:hanging="360"/>
      </w:pPr>
      <w:rPr>
        <w:rFonts w:hint="default"/>
      </w:rPr>
    </w:lvl>
    <w:lvl w:ilvl="2">
      <w:start w:val="0"/>
      <w:numFmt w:val="bullet"/>
      <w:lvlText w:val="•"/>
      <w:lvlJc w:val="left"/>
      <w:pPr>
        <w:ind w:left="2173" w:hanging="360"/>
      </w:pPr>
      <w:rPr>
        <w:rFonts w:hint="default"/>
      </w:rPr>
    </w:lvl>
    <w:lvl w:ilvl="3">
      <w:start w:val="0"/>
      <w:numFmt w:val="bullet"/>
      <w:lvlText w:val="•"/>
      <w:lvlJc w:val="left"/>
      <w:pPr>
        <w:ind w:left="3106" w:hanging="360"/>
      </w:pPr>
      <w:rPr>
        <w:rFonts w:hint="default"/>
      </w:rPr>
    </w:lvl>
    <w:lvl w:ilvl="4">
      <w:start w:val="0"/>
      <w:numFmt w:val="bullet"/>
      <w:lvlText w:val="•"/>
      <w:lvlJc w:val="left"/>
      <w:pPr>
        <w:ind w:left="4040" w:hanging="360"/>
      </w:pPr>
      <w:rPr>
        <w:rFonts w:hint="default"/>
      </w:rPr>
    </w:lvl>
    <w:lvl w:ilvl="5">
      <w:start w:val="0"/>
      <w:numFmt w:val="bullet"/>
      <w:lvlText w:val="•"/>
      <w:lvlJc w:val="left"/>
      <w:pPr>
        <w:ind w:left="4973" w:hanging="360"/>
      </w:pPr>
      <w:rPr>
        <w:rFonts w:hint="default"/>
      </w:rPr>
    </w:lvl>
    <w:lvl w:ilvl="6">
      <w:start w:val="0"/>
      <w:numFmt w:val="bullet"/>
      <w:lvlText w:val="•"/>
      <w:lvlJc w:val="left"/>
      <w:pPr>
        <w:ind w:left="5906" w:hanging="360"/>
      </w:pPr>
      <w:rPr>
        <w:rFonts w:hint="default"/>
      </w:rPr>
    </w:lvl>
    <w:lvl w:ilvl="7">
      <w:start w:val="0"/>
      <w:numFmt w:val="bullet"/>
      <w:lvlText w:val="•"/>
      <w:lvlJc w:val="left"/>
      <w:pPr>
        <w:ind w:left="6840" w:hanging="360"/>
      </w:pPr>
      <w:rPr>
        <w:rFonts w:hint="default"/>
      </w:rPr>
    </w:lvl>
    <w:lvl w:ilvl="8">
      <w:start w:val="0"/>
      <w:numFmt w:val="bullet"/>
      <w:lvlText w:val="•"/>
      <w:lvlJc w:val="left"/>
      <w:pPr>
        <w:ind w:left="7773" w:hanging="360"/>
      </w:pPr>
      <w:rPr>
        <w:rFonts w:hint="default"/>
      </w:rPr>
    </w:lvl>
  </w:abstractNum>
  <w:abstractNum w:abstractNumId="0">
    <w:multiLevelType w:val="hybridMultilevel"/>
    <w:lvl w:ilvl="0">
      <w:start w:val="1"/>
      <w:numFmt w:val="decimal"/>
      <w:lvlText w:val="%1."/>
      <w:lvlJc w:val="left"/>
      <w:pPr>
        <w:ind w:left="461" w:hanging="360"/>
        <w:jc w:val="left"/>
      </w:pPr>
      <w:rPr>
        <w:rFonts w:hint="default" w:ascii="Verdana" w:hAnsi="Verdana" w:eastAsia="Verdana" w:cs="Verdana"/>
        <w:w w:val="99"/>
        <w:sz w:val="20"/>
        <w:szCs w:val="20"/>
      </w:rPr>
    </w:lvl>
    <w:lvl w:ilvl="1">
      <w:start w:val="0"/>
      <w:numFmt w:val="bullet"/>
      <w:lvlText w:val="•"/>
      <w:lvlJc w:val="left"/>
      <w:pPr>
        <w:ind w:left="1378" w:hanging="360"/>
      </w:pPr>
      <w:rPr>
        <w:rFonts w:hint="default"/>
      </w:rPr>
    </w:lvl>
    <w:lvl w:ilvl="2">
      <w:start w:val="0"/>
      <w:numFmt w:val="bullet"/>
      <w:lvlText w:val="•"/>
      <w:lvlJc w:val="left"/>
      <w:pPr>
        <w:ind w:left="2296" w:hanging="360"/>
      </w:pPr>
      <w:rPr>
        <w:rFonts w:hint="default"/>
      </w:rPr>
    </w:lvl>
    <w:lvl w:ilvl="3">
      <w:start w:val="0"/>
      <w:numFmt w:val="bullet"/>
      <w:lvlText w:val="•"/>
      <w:lvlJc w:val="left"/>
      <w:pPr>
        <w:ind w:left="3214" w:hanging="360"/>
      </w:pPr>
      <w:rPr>
        <w:rFonts w:hint="default"/>
      </w:rPr>
    </w:lvl>
    <w:lvl w:ilvl="4">
      <w:start w:val="0"/>
      <w:numFmt w:val="bullet"/>
      <w:lvlText w:val="•"/>
      <w:lvlJc w:val="left"/>
      <w:pPr>
        <w:ind w:left="4132" w:hanging="360"/>
      </w:pPr>
      <w:rPr>
        <w:rFonts w:hint="default"/>
      </w:rPr>
    </w:lvl>
    <w:lvl w:ilvl="5">
      <w:start w:val="0"/>
      <w:numFmt w:val="bullet"/>
      <w:lvlText w:val="•"/>
      <w:lvlJc w:val="left"/>
      <w:pPr>
        <w:ind w:left="5050" w:hanging="360"/>
      </w:pPr>
      <w:rPr>
        <w:rFonts w:hint="default"/>
      </w:rPr>
    </w:lvl>
    <w:lvl w:ilvl="6">
      <w:start w:val="0"/>
      <w:numFmt w:val="bullet"/>
      <w:lvlText w:val="•"/>
      <w:lvlJc w:val="left"/>
      <w:pPr>
        <w:ind w:left="5968" w:hanging="360"/>
      </w:pPr>
      <w:rPr>
        <w:rFonts w:hint="default"/>
      </w:rPr>
    </w:lvl>
    <w:lvl w:ilvl="7">
      <w:start w:val="0"/>
      <w:numFmt w:val="bullet"/>
      <w:lvlText w:val="•"/>
      <w:lvlJc w:val="left"/>
      <w:pPr>
        <w:ind w:left="6886" w:hanging="360"/>
      </w:pPr>
      <w:rPr>
        <w:rFonts w:hint="default"/>
      </w:rPr>
    </w:lvl>
    <w:lvl w:ilvl="8">
      <w:start w:val="0"/>
      <w:numFmt w:val="bullet"/>
      <w:lvlText w:val="•"/>
      <w:lvlJc w:val="left"/>
      <w:pPr>
        <w:ind w:left="780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16"/>
      <w:szCs w:val="16"/>
    </w:rPr>
  </w:style>
  <w:style w:styleId="Heading1" w:type="paragraph">
    <w:name w:val="Heading 1"/>
    <w:basedOn w:val="Normal"/>
    <w:uiPriority w:val="1"/>
    <w:qFormat/>
    <w:pPr>
      <w:ind w:left="100"/>
      <w:outlineLvl w:val="1"/>
    </w:pPr>
    <w:rPr>
      <w:rFonts w:ascii="Verdana" w:hAnsi="Verdana" w:eastAsia="Verdana" w:cs="Verdana"/>
      <w:b/>
      <w:bCs/>
      <w:sz w:val="20"/>
      <w:szCs w:val="20"/>
      <w:u w:val="single" w:color="000000"/>
    </w:rPr>
  </w:style>
  <w:style w:styleId="Heading2" w:type="paragraph">
    <w:name w:val="Heading 2"/>
    <w:basedOn w:val="Normal"/>
    <w:uiPriority w:val="1"/>
    <w:qFormat/>
    <w:pPr>
      <w:ind w:left="461" w:hanging="359"/>
      <w:jc w:val="both"/>
      <w:outlineLvl w:val="2"/>
    </w:pPr>
    <w:rPr>
      <w:rFonts w:ascii="Verdana" w:hAnsi="Verdana" w:eastAsia="Verdana" w:cs="Verdana"/>
      <w:sz w:val="20"/>
      <w:szCs w:val="20"/>
    </w:rPr>
  </w:style>
  <w:style w:styleId="ListParagraph" w:type="paragraph">
    <w:name w:val="List Paragraph"/>
    <w:basedOn w:val="Normal"/>
    <w:uiPriority w:val="1"/>
    <w:qFormat/>
    <w:pPr>
      <w:ind w:left="461" w:hanging="359"/>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Tsaitami Ordonez</dc:creator>
  <dcterms:created xsi:type="dcterms:W3CDTF">2024-06-14T16:22:42Z</dcterms:created>
  <dcterms:modified xsi:type="dcterms:W3CDTF">2024-06-14T16:22:42Z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Acrobat PDFMaker 15 para Word</vt:lpwstr>
  </property>
  <property fmtid="{D5CDD505-2E9C-101B-9397-08002B2CF9AE}" pid="4" name="LastSaved">
    <vt:filetime>2024-06-14T00:00:00Z</vt:filetime>
  </property>
</Properties>
</file>