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65" w:rsidRPr="00FA2282" w:rsidRDefault="00686588" w:rsidP="00686588">
      <w:pPr>
        <w:jc w:val="center"/>
        <w:rPr>
          <w:rFonts w:ascii="Verdana" w:hAnsi="Verdana"/>
          <w:b/>
          <w:sz w:val="20"/>
          <w:szCs w:val="20"/>
          <w:u w:val="single"/>
          <w:lang w:val="es-ES"/>
        </w:rPr>
      </w:pPr>
      <w:r w:rsidRPr="00FA2282">
        <w:rPr>
          <w:rFonts w:ascii="Verdana" w:hAnsi="Verdana"/>
          <w:b/>
          <w:sz w:val="20"/>
          <w:szCs w:val="20"/>
          <w:u w:val="single"/>
          <w:lang w:val="es-ES"/>
        </w:rPr>
        <w:t xml:space="preserve">Caso </w:t>
      </w:r>
      <w:proofErr w:type="spellStart"/>
      <w:r w:rsidRPr="00FA2282">
        <w:rPr>
          <w:rFonts w:ascii="Verdana" w:hAnsi="Verdana"/>
          <w:b/>
          <w:sz w:val="20"/>
          <w:szCs w:val="20"/>
          <w:u w:val="single"/>
          <w:lang w:val="es-ES"/>
        </w:rPr>
        <w:t>Anzualdo</w:t>
      </w:r>
      <w:proofErr w:type="spellEnd"/>
      <w:r w:rsidRPr="00FA2282">
        <w:rPr>
          <w:rFonts w:ascii="Verdana" w:hAnsi="Verdana"/>
          <w:b/>
          <w:sz w:val="20"/>
          <w:szCs w:val="20"/>
          <w:u w:val="single"/>
          <w:lang w:val="es-ES"/>
        </w:rPr>
        <w:t xml:space="preserve"> Castro </w:t>
      </w:r>
      <w:r w:rsidRPr="00FA2282">
        <w:rPr>
          <w:rFonts w:ascii="Verdana" w:hAnsi="Verdana"/>
          <w:b/>
          <w:i/>
          <w:sz w:val="20"/>
          <w:szCs w:val="20"/>
          <w:u w:val="single"/>
          <w:lang w:val="es-ES"/>
        </w:rPr>
        <w:t>Vs</w:t>
      </w:r>
      <w:r w:rsidRPr="00FA2282">
        <w:rPr>
          <w:rFonts w:ascii="Verdana" w:hAnsi="Verdana"/>
          <w:b/>
          <w:sz w:val="20"/>
          <w:szCs w:val="20"/>
          <w:u w:val="single"/>
          <w:lang w:val="es-ES"/>
        </w:rPr>
        <w:t>. Perú: reparaciones declaradas cumplidas</w:t>
      </w:r>
    </w:p>
    <w:p w:rsidR="00686588" w:rsidRPr="00686588" w:rsidRDefault="00686588" w:rsidP="00686588">
      <w:pPr>
        <w:pStyle w:val="ListParagraph"/>
        <w:numPr>
          <w:ilvl w:val="0"/>
          <w:numId w:val="1"/>
        </w:numPr>
        <w:jc w:val="both"/>
        <w:rPr>
          <w:rFonts w:ascii="Verdana" w:hAnsi="Verdana"/>
          <w:sz w:val="20"/>
          <w:szCs w:val="20"/>
          <w:lang w:val="es-ES"/>
        </w:rPr>
      </w:pPr>
      <w:r w:rsidRPr="00686588">
        <w:rPr>
          <w:rFonts w:ascii="Verdana" w:hAnsi="Verdana"/>
          <w:sz w:val="20"/>
          <w:szCs w:val="20"/>
          <w:lang w:val="es-ES"/>
        </w:rPr>
        <w:t xml:space="preserve">Realizar, dentro de un plazo de seis meses, contado a partir de la notificación de la presente Sentencia, un acto público de reconocimiento de responsabilidad por la desaparición forzada de Kenneth </w:t>
      </w:r>
      <w:proofErr w:type="spellStart"/>
      <w:r w:rsidRPr="00686588">
        <w:rPr>
          <w:rFonts w:ascii="Verdana" w:hAnsi="Verdana"/>
          <w:sz w:val="20"/>
          <w:szCs w:val="20"/>
          <w:lang w:val="es-ES"/>
        </w:rPr>
        <w:t>Ney</w:t>
      </w:r>
      <w:proofErr w:type="spellEnd"/>
      <w:r w:rsidRPr="00686588">
        <w:rPr>
          <w:rFonts w:ascii="Verdana" w:hAnsi="Verdana"/>
          <w:sz w:val="20"/>
          <w:szCs w:val="20"/>
          <w:lang w:val="es-ES"/>
        </w:rPr>
        <w:t xml:space="preserve"> </w:t>
      </w:r>
      <w:proofErr w:type="spellStart"/>
      <w:r w:rsidRPr="00686588">
        <w:rPr>
          <w:rFonts w:ascii="Verdana" w:hAnsi="Verdana"/>
          <w:sz w:val="20"/>
          <w:szCs w:val="20"/>
          <w:lang w:val="es-ES"/>
        </w:rPr>
        <w:t>Anzualdo</w:t>
      </w:r>
      <w:proofErr w:type="spellEnd"/>
      <w:r w:rsidRPr="00686588">
        <w:rPr>
          <w:rFonts w:ascii="Verdana" w:hAnsi="Verdana"/>
          <w:sz w:val="20"/>
          <w:szCs w:val="20"/>
          <w:lang w:val="es-ES"/>
        </w:rPr>
        <w:t xml:space="preserve"> Castro y de desagravio para él y sus familiares, bajo las condiciones y en los términos de los párrafos 198 a 200 de esta Sentencia.</w:t>
      </w:r>
      <w:bookmarkStart w:id="0" w:name="_GoBack"/>
      <w:bookmarkEnd w:id="0"/>
    </w:p>
    <w:p w:rsidR="00686588" w:rsidRPr="00686588" w:rsidRDefault="00686588" w:rsidP="00686588">
      <w:pPr>
        <w:jc w:val="both"/>
        <w:rPr>
          <w:rFonts w:ascii="Verdana" w:hAnsi="Verdana"/>
          <w:b/>
          <w:sz w:val="20"/>
          <w:szCs w:val="20"/>
          <w:lang w:val="es-ES"/>
        </w:rPr>
      </w:pPr>
      <w:r w:rsidRPr="00686588">
        <w:rPr>
          <w:rFonts w:ascii="Verdana" w:hAnsi="Verdana"/>
          <w:b/>
          <w:sz w:val="20"/>
          <w:szCs w:val="20"/>
          <w:lang w:val="es-ES"/>
        </w:rPr>
        <w:t>Cumplimiento parcial:</w:t>
      </w:r>
    </w:p>
    <w:p w:rsidR="00686588" w:rsidRDefault="00686588" w:rsidP="00686588">
      <w:pPr>
        <w:pStyle w:val="ListParagraph"/>
        <w:numPr>
          <w:ilvl w:val="0"/>
          <w:numId w:val="1"/>
        </w:numPr>
        <w:jc w:val="both"/>
        <w:rPr>
          <w:rFonts w:ascii="Verdana" w:hAnsi="Verdana"/>
          <w:sz w:val="20"/>
          <w:szCs w:val="20"/>
          <w:lang w:val="es-ES"/>
        </w:rPr>
      </w:pPr>
      <w:r w:rsidRPr="00686588">
        <w:rPr>
          <w:rFonts w:ascii="Verdana" w:hAnsi="Verdana"/>
          <w:sz w:val="20"/>
          <w:szCs w:val="20"/>
          <w:lang w:val="es-ES"/>
        </w:rPr>
        <w:t>Continuar realizando todos los esfuerzos necesarios, y adoptar las medidas administrativas, legales y políticas públicas que correspondan, para determinar e identificar a personas desaparecidas durante el conflicto interno a través de los medios técnicos y científicos más eficaces y, en la medida de lo posible y científicamente recomendable, mediante la estandarización de los criterios de investigación, para lo cual es conveniente el establecimiento de un sistema de información genética que permita la determinación y esclarecimiento de la filiación de las víctimas y su identificación, en los términos de los párrafos 188 y 189 de esta Sentencia.</w:t>
      </w:r>
    </w:p>
    <w:p w:rsidR="00686588" w:rsidRDefault="00686588" w:rsidP="00686588">
      <w:pPr>
        <w:jc w:val="both"/>
        <w:rPr>
          <w:rFonts w:ascii="Verdana" w:hAnsi="Verdana"/>
          <w:sz w:val="20"/>
          <w:szCs w:val="20"/>
          <w:lang w:val="es-ES"/>
        </w:rPr>
      </w:pPr>
      <w:r w:rsidRPr="00686588">
        <w:rPr>
          <w:rFonts w:ascii="Verdana" w:hAnsi="Verdana"/>
          <w:sz w:val="20"/>
          <w:szCs w:val="20"/>
          <w:lang w:val="es-ES"/>
        </w:rPr>
        <w:t xml:space="preserve">En el Considerando </w:t>
      </w:r>
      <w:r>
        <w:rPr>
          <w:rFonts w:ascii="Verdana" w:hAnsi="Verdana"/>
          <w:sz w:val="20"/>
          <w:szCs w:val="20"/>
          <w:lang w:val="es-ES"/>
        </w:rPr>
        <w:t>20</w:t>
      </w:r>
      <w:r w:rsidRPr="00686588">
        <w:rPr>
          <w:rFonts w:ascii="Verdana" w:hAnsi="Verdana"/>
          <w:sz w:val="20"/>
          <w:szCs w:val="20"/>
          <w:lang w:val="es-ES"/>
        </w:rPr>
        <w:t xml:space="preserve"> de la Resolución de la Corte de 21 de</w:t>
      </w:r>
      <w:r>
        <w:rPr>
          <w:rFonts w:ascii="Verdana" w:hAnsi="Verdana"/>
          <w:sz w:val="20"/>
          <w:szCs w:val="20"/>
          <w:lang w:val="es-ES"/>
        </w:rPr>
        <w:t xml:space="preserve"> agosto de</w:t>
      </w:r>
      <w:r w:rsidRPr="00686588">
        <w:rPr>
          <w:rFonts w:ascii="Verdana" w:hAnsi="Verdana"/>
          <w:sz w:val="20"/>
          <w:szCs w:val="20"/>
          <w:lang w:val="es-ES"/>
        </w:rPr>
        <w:t xml:space="preserve"> 2013</w:t>
      </w:r>
      <w:r>
        <w:rPr>
          <w:rFonts w:ascii="Verdana" w:hAnsi="Verdana"/>
          <w:sz w:val="20"/>
          <w:szCs w:val="20"/>
          <w:lang w:val="es-ES"/>
        </w:rPr>
        <w:t xml:space="preserve"> </w:t>
      </w:r>
      <w:r w:rsidRPr="00686588">
        <w:rPr>
          <w:rFonts w:ascii="Verdana" w:hAnsi="Verdana"/>
          <w:sz w:val="20"/>
          <w:szCs w:val="20"/>
          <w:lang w:val="es-ES"/>
        </w:rPr>
        <w:t>se explica lo que continúa pendiente de cumplimiento respecto a la presente medida de reparación:</w:t>
      </w:r>
    </w:p>
    <w:p w:rsidR="00686588" w:rsidRPr="002C1B23" w:rsidRDefault="00686588" w:rsidP="00686588">
      <w:pPr>
        <w:ind w:left="720" w:right="720"/>
        <w:jc w:val="both"/>
        <w:rPr>
          <w:rFonts w:ascii="Verdana" w:hAnsi="Verdana"/>
          <w:sz w:val="18"/>
          <w:szCs w:val="20"/>
          <w:lang w:val="es-ES"/>
        </w:rPr>
      </w:pPr>
      <w:r w:rsidRPr="002C1B23">
        <w:rPr>
          <w:rFonts w:ascii="Verdana" w:hAnsi="Verdana"/>
          <w:sz w:val="18"/>
          <w:szCs w:val="20"/>
          <w:lang w:val="es-ES"/>
        </w:rPr>
        <w:t>20. En razón de lo anterior, el Tribunal considera que el Estado ha emprendido acciones encaminadas a recuperar, identificar y entregar los cuerpos de víctimas del conflicto armado, demostrando así un avance significativo al respecto. Por tanto, la Corte estima un cumplimiento parcial de este punto. Sin embargo, a fin de valorar el cumplimiento total del mismo, se solicita al Estado un informe adicional sobre los avances en comento y en el que precise las tareas pendientes de realizar en cuanto a la estandarización de los criterios de identificación, establecimiento de un sistema de información genética que permita la determinación y esclarecimiento de la filiación de las víctimas, así como su identificación.</w:t>
      </w:r>
    </w:p>
    <w:p w:rsidR="00686588" w:rsidRDefault="00686588" w:rsidP="00686588">
      <w:pPr>
        <w:pStyle w:val="ListParagraph"/>
        <w:numPr>
          <w:ilvl w:val="0"/>
          <w:numId w:val="1"/>
        </w:numPr>
        <w:jc w:val="both"/>
        <w:rPr>
          <w:rFonts w:ascii="Verdana" w:hAnsi="Verdana"/>
          <w:sz w:val="20"/>
          <w:szCs w:val="20"/>
          <w:lang w:val="es-ES"/>
        </w:rPr>
      </w:pPr>
      <w:r>
        <w:rPr>
          <w:rFonts w:ascii="Verdana" w:hAnsi="Verdana"/>
          <w:sz w:val="20"/>
          <w:szCs w:val="20"/>
          <w:lang w:val="es-ES"/>
        </w:rPr>
        <w:t>I</w:t>
      </w:r>
      <w:r w:rsidRPr="00686588">
        <w:rPr>
          <w:rFonts w:ascii="Verdana" w:hAnsi="Verdana"/>
          <w:sz w:val="20"/>
          <w:szCs w:val="20"/>
          <w:lang w:val="es-ES"/>
        </w:rPr>
        <w:t>mplementar, en un plazo razonable, programas permanentes de educación en derechos humanos destinados a los miembros de los servicios de inteligencia, las Fuerzas Armadas, así como a jueces y fiscales, en los términos del párrafo 193 de esta Sentencia.</w:t>
      </w:r>
    </w:p>
    <w:p w:rsidR="00686588" w:rsidRPr="00686588" w:rsidRDefault="00686588" w:rsidP="00686588">
      <w:pPr>
        <w:jc w:val="both"/>
        <w:rPr>
          <w:rFonts w:ascii="Verdana" w:hAnsi="Verdana"/>
          <w:sz w:val="20"/>
          <w:szCs w:val="20"/>
          <w:lang w:val="es-ES"/>
        </w:rPr>
      </w:pPr>
      <w:r w:rsidRPr="00686588">
        <w:rPr>
          <w:rFonts w:ascii="Verdana" w:hAnsi="Verdana"/>
          <w:sz w:val="20"/>
          <w:szCs w:val="20"/>
          <w:lang w:val="es-ES"/>
        </w:rPr>
        <w:t>En el Conside</w:t>
      </w:r>
      <w:r>
        <w:rPr>
          <w:rFonts w:ascii="Verdana" w:hAnsi="Verdana"/>
          <w:sz w:val="20"/>
          <w:szCs w:val="20"/>
          <w:lang w:val="es-ES"/>
        </w:rPr>
        <w:t>rando 31</w:t>
      </w:r>
      <w:r w:rsidRPr="00686588">
        <w:rPr>
          <w:rFonts w:ascii="Verdana" w:hAnsi="Verdana"/>
          <w:sz w:val="20"/>
          <w:szCs w:val="20"/>
          <w:lang w:val="es-ES"/>
        </w:rPr>
        <w:t xml:space="preserve"> de la Resolución de la Corte de 21 de agosto de 2013 se explica lo que continúa pendiente de cumplimiento respecto a la presente medida de reparación:</w:t>
      </w:r>
    </w:p>
    <w:p w:rsidR="00686588" w:rsidRPr="00686588" w:rsidRDefault="00686588" w:rsidP="00686588">
      <w:pPr>
        <w:pStyle w:val="ListParagraph"/>
        <w:ind w:right="720"/>
        <w:jc w:val="both"/>
        <w:rPr>
          <w:rFonts w:ascii="Verdana" w:hAnsi="Verdana"/>
          <w:sz w:val="20"/>
          <w:szCs w:val="20"/>
          <w:lang w:val="es-ES"/>
        </w:rPr>
      </w:pPr>
      <w:r w:rsidRPr="0019333A">
        <w:rPr>
          <w:rFonts w:ascii="Verdana" w:hAnsi="Verdana"/>
          <w:sz w:val="18"/>
          <w:szCs w:val="20"/>
          <w:lang w:val="es-ES"/>
        </w:rPr>
        <w:t xml:space="preserve">31. De la información aportada por el Estado, la Corte valora las diversas medidas encaminadas a bridar capacitación en derechos humanos a funcionarios públicos de distintos niveles y sectores, por lo que estima un cumplimiento parcial del presente punto. No obstante, para su valoración total, es necesario que el Estado brinde información sistematizada, concreta y detallada sobre los programas permanentes de educación y su contenido a favor de funcionarios del servicio de inteligencia, las Fuerzas Armadas, así como a jueces y fiscales, con el objetivo de corroborar que dentro de éstos se hace especial mención a la Sentencia, a los instrumentos internacionales de derechos humanos y, específicamente, a los relativos a la </w:t>
      </w:r>
      <w:r w:rsidRPr="0019333A">
        <w:rPr>
          <w:rFonts w:ascii="Verdana" w:hAnsi="Verdana"/>
          <w:sz w:val="18"/>
          <w:szCs w:val="20"/>
          <w:lang w:val="es-ES"/>
        </w:rPr>
        <w:lastRenderedPageBreak/>
        <w:t>desaparición forzada de personas y tortura, de conformidad con lo señalado en el fallo del caso</w:t>
      </w:r>
      <w:r w:rsidRPr="00686588">
        <w:rPr>
          <w:rFonts w:ascii="Verdana" w:hAnsi="Verdana"/>
          <w:sz w:val="20"/>
          <w:szCs w:val="20"/>
          <w:lang w:val="es-ES"/>
        </w:rPr>
        <w:t>.</w:t>
      </w:r>
    </w:p>
    <w:sectPr w:rsidR="00686588" w:rsidRPr="0068658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015" w:rsidRDefault="00B92015" w:rsidP="00B97329">
      <w:pPr>
        <w:spacing w:after="0" w:line="240" w:lineRule="auto"/>
      </w:pPr>
      <w:r>
        <w:separator/>
      </w:r>
    </w:p>
  </w:endnote>
  <w:endnote w:type="continuationSeparator" w:id="0">
    <w:p w:rsidR="00B92015" w:rsidRDefault="00B92015" w:rsidP="00B9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29" w:rsidRPr="005F4150" w:rsidRDefault="00B97329" w:rsidP="00B97329">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015" w:rsidRDefault="00B92015" w:rsidP="00B97329">
      <w:pPr>
        <w:spacing w:after="0" w:line="240" w:lineRule="auto"/>
      </w:pPr>
      <w:r>
        <w:separator/>
      </w:r>
    </w:p>
  </w:footnote>
  <w:footnote w:type="continuationSeparator" w:id="0">
    <w:p w:rsidR="00B92015" w:rsidRDefault="00B92015" w:rsidP="00B97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537171"/>
      <w:docPartObj>
        <w:docPartGallery w:val="Page Numbers (Top of Page)"/>
        <w:docPartUnique/>
      </w:docPartObj>
    </w:sdtPr>
    <w:sdtEndPr>
      <w:rPr>
        <w:noProof/>
      </w:rPr>
    </w:sdtEndPr>
    <w:sdtContent>
      <w:p w:rsidR="00B97329" w:rsidRDefault="00B97329">
        <w:pPr>
          <w:pStyle w:val="Header"/>
          <w:jc w:val="right"/>
        </w:pPr>
        <w:r>
          <w:fldChar w:fldCharType="begin"/>
        </w:r>
        <w:r>
          <w:instrText xml:space="preserve"> PAGE   \* MERGEFORMAT </w:instrText>
        </w:r>
        <w:r>
          <w:fldChar w:fldCharType="separate"/>
        </w:r>
        <w:r w:rsidR="00FA2282">
          <w:rPr>
            <w:noProof/>
          </w:rPr>
          <w:t>1</w:t>
        </w:r>
        <w:r>
          <w:rPr>
            <w:noProof/>
          </w:rPr>
          <w:fldChar w:fldCharType="end"/>
        </w:r>
      </w:p>
    </w:sdtContent>
  </w:sdt>
  <w:p w:rsidR="00B97329" w:rsidRDefault="00B97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F460F"/>
    <w:multiLevelType w:val="hybridMultilevel"/>
    <w:tmpl w:val="713EC15C"/>
    <w:lvl w:ilvl="0" w:tplc="B41C095C">
      <w:start w:val="1"/>
      <w:numFmt w:val="decimal"/>
      <w:lvlText w:val="%1."/>
      <w:lvlJc w:val="left"/>
      <w:pPr>
        <w:ind w:left="360" w:hanging="360"/>
      </w:pPr>
      <w:rPr>
        <w:rFonts w:ascii="Verdana" w:hAnsi="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88"/>
    <w:rsid w:val="00014E17"/>
    <w:rsid w:val="0019333A"/>
    <w:rsid w:val="0029263A"/>
    <w:rsid w:val="002C1B23"/>
    <w:rsid w:val="00686588"/>
    <w:rsid w:val="00727622"/>
    <w:rsid w:val="007B5F6E"/>
    <w:rsid w:val="00883116"/>
    <w:rsid w:val="00B92015"/>
    <w:rsid w:val="00B97329"/>
    <w:rsid w:val="00CC4217"/>
    <w:rsid w:val="00D97156"/>
    <w:rsid w:val="00FA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588"/>
    <w:pPr>
      <w:ind w:left="720"/>
      <w:contextualSpacing/>
    </w:pPr>
  </w:style>
  <w:style w:type="paragraph" w:styleId="Header">
    <w:name w:val="header"/>
    <w:basedOn w:val="Normal"/>
    <w:link w:val="HeaderChar"/>
    <w:uiPriority w:val="99"/>
    <w:unhideWhenUsed/>
    <w:rsid w:val="00B97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329"/>
  </w:style>
  <w:style w:type="paragraph" w:styleId="Footer">
    <w:name w:val="footer"/>
    <w:basedOn w:val="Normal"/>
    <w:link w:val="FooterChar"/>
    <w:uiPriority w:val="99"/>
    <w:unhideWhenUsed/>
    <w:rsid w:val="00B97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588"/>
    <w:pPr>
      <w:ind w:left="720"/>
      <w:contextualSpacing/>
    </w:pPr>
  </w:style>
  <w:style w:type="paragraph" w:styleId="Header">
    <w:name w:val="header"/>
    <w:basedOn w:val="Normal"/>
    <w:link w:val="HeaderChar"/>
    <w:uiPriority w:val="99"/>
    <w:unhideWhenUsed/>
    <w:rsid w:val="00B97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329"/>
  </w:style>
  <w:style w:type="paragraph" w:styleId="Footer">
    <w:name w:val="footer"/>
    <w:basedOn w:val="Normal"/>
    <w:link w:val="FooterChar"/>
    <w:uiPriority w:val="99"/>
    <w:unhideWhenUsed/>
    <w:rsid w:val="00B97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Regina Castro</cp:lastModifiedBy>
  <cp:revision>6</cp:revision>
  <dcterms:created xsi:type="dcterms:W3CDTF">2016-11-08T20:44:00Z</dcterms:created>
  <dcterms:modified xsi:type="dcterms:W3CDTF">2016-11-16T00:14:00Z</dcterms:modified>
</cp:coreProperties>
</file>