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55" w:rsidRPr="0005531E" w:rsidRDefault="00CE2655" w:rsidP="00CE2655">
      <w:pPr>
        <w:jc w:val="center"/>
        <w:rPr>
          <w:rFonts w:ascii="Verdana" w:hAnsi="Verdana"/>
          <w:b/>
          <w:sz w:val="20"/>
          <w:u w:val="single"/>
          <w:lang w:val="es-ES"/>
        </w:rPr>
      </w:pPr>
      <w:r w:rsidRPr="0005531E">
        <w:rPr>
          <w:rFonts w:ascii="Verdana" w:hAnsi="Verdana"/>
          <w:b/>
          <w:sz w:val="20"/>
          <w:u w:val="single"/>
          <w:lang w:val="es-ES"/>
        </w:rPr>
        <w:t xml:space="preserve">Caso Barrios Altos </w:t>
      </w:r>
      <w:r w:rsidRPr="0005531E">
        <w:rPr>
          <w:rFonts w:ascii="Verdana" w:hAnsi="Verdana"/>
          <w:b/>
          <w:i/>
          <w:sz w:val="20"/>
          <w:u w:val="single"/>
          <w:lang w:val="es-ES"/>
        </w:rPr>
        <w:t xml:space="preserve">Vs. </w:t>
      </w:r>
      <w:r w:rsidRPr="0005531E">
        <w:rPr>
          <w:rFonts w:ascii="Verdana" w:hAnsi="Verdana"/>
          <w:b/>
          <w:sz w:val="20"/>
          <w:u w:val="single"/>
          <w:lang w:val="es-ES"/>
        </w:rPr>
        <w:t xml:space="preserve">Perú: reparaciones </w:t>
      </w:r>
      <w:r>
        <w:rPr>
          <w:rFonts w:ascii="Verdana" w:hAnsi="Verdana"/>
          <w:b/>
          <w:sz w:val="20"/>
          <w:u w:val="single"/>
          <w:lang w:val="es-ES"/>
        </w:rPr>
        <w:t>pendientes de cumplimiento</w:t>
      </w:r>
    </w:p>
    <w:p w:rsidR="006E7F48" w:rsidRDefault="00BD765B" w:rsidP="00CE2655">
      <w:pPr>
        <w:rPr>
          <w:lang w:val="es-ES"/>
        </w:rPr>
      </w:pPr>
    </w:p>
    <w:p w:rsidR="00144E91" w:rsidRPr="00F03375" w:rsidRDefault="00144E91" w:rsidP="00C240AE">
      <w:pPr>
        <w:pStyle w:val="ListParagraph"/>
        <w:numPr>
          <w:ilvl w:val="0"/>
          <w:numId w:val="1"/>
        </w:numPr>
        <w:ind w:left="360"/>
        <w:jc w:val="both"/>
        <w:rPr>
          <w:rFonts w:ascii="Verdana" w:hAnsi="Verdana"/>
          <w:sz w:val="20"/>
          <w:lang w:val="es-ES_tradnl"/>
        </w:rPr>
      </w:pPr>
      <w:r w:rsidRPr="00F03375">
        <w:rPr>
          <w:rFonts w:ascii="Verdana" w:hAnsi="Verdana"/>
          <w:sz w:val="20"/>
          <w:lang w:val="es-ES"/>
        </w:rPr>
        <w:t>I</w:t>
      </w:r>
      <w:r w:rsidRPr="00F03375">
        <w:rPr>
          <w:rFonts w:ascii="Verdana" w:hAnsi="Verdana"/>
          <w:sz w:val="20"/>
          <w:lang w:val="es-ES_tradnl"/>
        </w:rPr>
        <w:t>nvestigar los hechos para determinar las personas responsables de las violaciones de los derechos humanos a los que se ha hecho referencia en esta Sentencia, así como divulgar públicamente los resultados de dicha investigación y sancionar a los responsables.</w:t>
      </w:r>
    </w:p>
    <w:p w:rsidR="00144E91" w:rsidRPr="00F03375" w:rsidRDefault="00144E91" w:rsidP="00144E91">
      <w:pPr>
        <w:pStyle w:val="ListParagraph"/>
        <w:ind w:left="360"/>
        <w:jc w:val="both"/>
        <w:rPr>
          <w:rFonts w:ascii="Verdana" w:hAnsi="Verdana"/>
          <w:sz w:val="20"/>
          <w:lang w:val="es-ES_tradnl"/>
        </w:rPr>
      </w:pPr>
    </w:p>
    <w:p w:rsidR="00C240AE" w:rsidRPr="00F03375" w:rsidRDefault="00C240AE" w:rsidP="00C240AE">
      <w:pPr>
        <w:pStyle w:val="ListParagraph"/>
        <w:numPr>
          <w:ilvl w:val="0"/>
          <w:numId w:val="1"/>
        </w:numPr>
        <w:ind w:left="360"/>
        <w:jc w:val="both"/>
        <w:rPr>
          <w:rFonts w:ascii="Verdana" w:hAnsi="Verdana"/>
          <w:sz w:val="20"/>
          <w:lang w:val="es-ES_tradnl"/>
        </w:rPr>
      </w:pPr>
      <w:r w:rsidRPr="00F03375">
        <w:rPr>
          <w:rFonts w:ascii="Verdana" w:hAnsi="Verdana"/>
          <w:sz w:val="20"/>
          <w:lang w:val="es-ES_tradnl"/>
        </w:rPr>
        <w:t>Otorgar a los beneficiarios de las reparaciones los gastos de servicios de salud, brindándoles atención gratuita en el establecimiento de salud correspondiente a su domicilio y en el hospital o instituto especializado de referencia correspondiente, en las áreas de: atención de consulta externa, procedimientos de ayuda diagnóstica, medicamentos, atención especializada, procedimientos diagnósticos, hospitalización, intervenciones quirúrgicas, partos, rehabilitación traumatológica y salud mental, de conformidad con lo expuesto en los párrafos 42 y 45 de la presente Sentencia.</w:t>
      </w:r>
    </w:p>
    <w:p w:rsidR="00C240AE" w:rsidRPr="00F03375" w:rsidRDefault="00C240AE" w:rsidP="00C240AE">
      <w:pPr>
        <w:pStyle w:val="ListParagraph"/>
        <w:ind w:left="360" w:hanging="360"/>
        <w:jc w:val="both"/>
        <w:rPr>
          <w:rFonts w:ascii="Verdana" w:hAnsi="Verdana"/>
          <w:sz w:val="20"/>
          <w:lang w:val="es-ES_tradnl"/>
        </w:rPr>
      </w:pPr>
    </w:p>
    <w:p w:rsidR="00C240AE" w:rsidRPr="00F03375" w:rsidRDefault="00C240AE" w:rsidP="00C240AE">
      <w:pPr>
        <w:pStyle w:val="ListParagraph"/>
        <w:numPr>
          <w:ilvl w:val="0"/>
          <w:numId w:val="1"/>
        </w:numPr>
        <w:ind w:left="360"/>
        <w:jc w:val="both"/>
        <w:rPr>
          <w:rFonts w:ascii="Verdana" w:hAnsi="Verdana"/>
          <w:sz w:val="20"/>
          <w:lang w:val="es-ES_tradnl"/>
        </w:rPr>
      </w:pPr>
      <w:r w:rsidRPr="00F03375">
        <w:rPr>
          <w:rFonts w:ascii="Verdana" w:hAnsi="Verdana"/>
          <w:sz w:val="20"/>
          <w:lang w:val="es-ES_tradnl"/>
        </w:rPr>
        <w:t xml:space="preserve">Proporcionar a los beneficiarios de las reparaciones las siguientes prestaciones educativas, de conformidad con lo expuesto en los párrafos 43 y 45 de la presente Sentencia:  </w:t>
      </w:r>
    </w:p>
    <w:p w:rsidR="00C240AE" w:rsidRPr="00F03375" w:rsidRDefault="00C240AE" w:rsidP="00C240AE">
      <w:pPr>
        <w:ind w:left="360" w:hanging="360"/>
        <w:jc w:val="both"/>
        <w:rPr>
          <w:rFonts w:ascii="Verdana" w:hAnsi="Verdana"/>
          <w:sz w:val="20"/>
          <w:lang w:val="es-ES_tradnl"/>
        </w:rPr>
      </w:pPr>
    </w:p>
    <w:p w:rsidR="00C240AE" w:rsidRPr="00F03375" w:rsidRDefault="00144E91" w:rsidP="00144E91">
      <w:pPr>
        <w:ind w:left="720" w:hanging="360"/>
        <w:jc w:val="both"/>
        <w:rPr>
          <w:rFonts w:ascii="Verdana" w:hAnsi="Verdana"/>
          <w:sz w:val="20"/>
          <w:lang w:val="es-ES_tradnl"/>
        </w:rPr>
      </w:pPr>
      <w:r w:rsidRPr="00F03375">
        <w:rPr>
          <w:rFonts w:ascii="Verdana" w:hAnsi="Verdana"/>
          <w:sz w:val="20"/>
          <w:lang w:val="es-ES_tradnl"/>
        </w:rPr>
        <w:t xml:space="preserve">a) </w:t>
      </w:r>
      <w:r w:rsidRPr="00F03375">
        <w:rPr>
          <w:rFonts w:ascii="Verdana" w:hAnsi="Verdana"/>
          <w:sz w:val="20"/>
          <w:lang w:val="es-ES_tradnl"/>
        </w:rPr>
        <w:tab/>
      </w:r>
      <w:r w:rsidR="00C240AE" w:rsidRPr="00F03375">
        <w:rPr>
          <w:rFonts w:ascii="Verdana" w:hAnsi="Verdana"/>
          <w:sz w:val="20"/>
          <w:lang w:val="es-ES_tradnl"/>
        </w:rPr>
        <w:t>becas a través del Instituto Nacional de Becas y Crédito Educativo con el fin de estudiar en Academias, Institutos y Centros de Ocupación Ocupacional (</w:t>
      </w:r>
      <w:r w:rsidR="00C240AE" w:rsidRPr="00F03375">
        <w:rPr>
          <w:rFonts w:ascii="Verdana" w:hAnsi="Verdana"/>
          <w:i/>
          <w:sz w:val="20"/>
          <w:lang w:val="es-ES_tradnl"/>
        </w:rPr>
        <w:t xml:space="preserve">sic) y </w:t>
      </w:r>
      <w:r w:rsidR="00C240AE" w:rsidRPr="00F03375">
        <w:rPr>
          <w:rFonts w:ascii="Verdana" w:hAnsi="Verdana"/>
          <w:sz w:val="20"/>
          <w:lang w:val="es-ES_tradnl"/>
        </w:rPr>
        <w:t xml:space="preserve">apoyo a los beneficiarios interesados en continuar estudios, “a través de </w:t>
      </w:r>
      <w:smartTag w:uri="urn:schemas-microsoft-com:office:smarttags" w:element="PersonName">
        <w:smartTagPr>
          <w:attr w:name="ProductID" w:val="la Direcci￳n Nacional"/>
        </w:smartTagPr>
        <w:r w:rsidR="00C240AE" w:rsidRPr="00F03375">
          <w:rPr>
            <w:rFonts w:ascii="Verdana" w:hAnsi="Verdana"/>
            <w:sz w:val="20"/>
            <w:lang w:val="es-ES_tradnl"/>
          </w:rPr>
          <w:t>la Dirección Nacional</w:t>
        </w:r>
      </w:smartTag>
      <w:r w:rsidR="00C240AE" w:rsidRPr="00F03375">
        <w:rPr>
          <w:rFonts w:ascii="Verdana" w:hAnsi="Verdana"/>
          <w:sz w:val="20"/>
          <w:lang w:val="es-ES_tradnl"/>
        </w:rPr>
        <w:t xml:space="preserve"> de Educación Secundaria y Superior Tecnológica”; y</w:t>
      </w:r>
    </w:p>
    <w:p w:rsidR="00C240AE" w:rsidRPr="00F03375" w:rsidRDefault="00C240AE" w:rsidP="00C240AE">
      <w:pPr>
        <w:ind w:left="360" w:hanging="360"/>
        <w:jc w:val="both"/>
        <w:rPr>
          <w:rFonts w:ascii="Verdana" w:hAnsi="Verdana"/>
          <w:sz w:val="20"/>
          <w:lang w:val="es-ES_tradnl"/>
        </w:rPr>
      </w:pPr>
    </w:p>
    <w:p w:rsidR="00C240AE" w:rsidRPr="00F03375" w:rsidRDefault="00C240AE" w:rsidP="00144E91">
      <w:pPr>
        <w:ind w:left="720" w:hanging="360"/>
        <w:jc w:val="both"/>
        <w:rPr>
          <w:rFonts w:ascii="Verdana" w:hAnsi="Verdana"/>
          <w:sz w:val="20"/>
          <w:lang w:val="es-ES_tradnl"/>
        </w:rPr>
      </w:pPr>
      <w:r w:rsidRPr="00F03375">
        <w:rPr>
          <w:rFonts w:ascii="Verdana" w:hAnsi="Verdana"/>
          <w:sz w:val="20"/>
          <w:lang w:val="es-ES_tradnl"/>
        </w:rPr>
        <w:t xml:space="preserve">b) </w:t>
      </w:r>
      <w:r w:rsidRPr="00F03375">
        <w:rPr>
          <w:rFonts w:ascii="Verdana" w:hAnsi="Verdana"/>
          <w:sz w:val="20"/>
          <w:lang w:val="es-ES_tradnl"/>
        </w:rPr>
        <w:tab/>
        <w:t>materiales educativos; textos oficiales para alumnos de educación primaria y secundaria; uniformes; útiles escolares y otros.</w:t>
      </w:r>
    </w:p>
    <w:p w:rsidR="00C240AE" w:rsidRPr="00F03375" w:rsidRDefault="00C240AE" w:rsidP="00C240AE">
      <w:pPr>
        <w:ind w:left="360" w:hanging="360"/>
        <w:rPr>
          <w:lang w:val="es-ES_tradnl"/>
        </w:rPr>
      </w:pPr>
    </w:p>
    <w:p w:rsidR="00C240AE" w:rsidRPr="00F03375" w:rsidRDefault="00C240AE" w:rsidP="00C240AE">
      <w:pPr>
        <w:pStyle w:val="ListParagraph"/>
        <w:numPr>
          <w:ilvl w:val="0"/>
          <w:numId w:val="1"/>
        </w:numPr>
        <w:ind w:left="360"/>
        <w:jc w:val="both"/>
        <w:rPr>
          <w:rFonts w:ascii="Verdana" w:hAnsi="Verdana"/>
          <w:b/>
          <w:i/>
          <w:sz w:val="20"/>
          <w:lang w:val="es-ES_tradnl"/>
        </w:rPr>
      </w:pPr>
      <w:r w:rsidRPr="00F03375">
        <w:rPr>
          <w:rFonts w:ascii="Verdana" w:hAnsi="Verdana"/>
          <w:sz w:val="20"/>
          <w:lang w:val="es-ES_tradnl"/>
        </w:rPr>
        <w:t>Iniciar  el proceso por el cual se incorpore “la figura jurídica que resulte más conveniente” para tipificar el delito de ejecuciones extrajudiciales, dentro de los 30 días de suscrito el acuerdo”.</w:t>
      </w:r>
    </w:p>
    <w:p w:rsidR="00C240AE" w:rsidRPr="00F03375" w:rsidRDefault="00C240AE" w:rsidP="00C240AE">
      <w:pPr>
        <w:pStyle w:val="ListParagraph"/>
        <w:ind w:left="360" w:hanging="360"/>
        <w:jc w:val="both"/>
        <w:rPr>
          <w:rFonts w:ascii="Verdana" w:hAnsi="Verdana"/>
          <w:b/>
          <w:i/>
          <w:sz w:val="20"/>
          <w:lang w:val="es-ES_tradnl"/>
        </w:rPr>
      </w:pPr>
    </w:p>
    <w:p w:rsidR="00C240AE" w:rsidRPr="00F03375" w:rsidRDefault="00C240AE" w:rsidP="00C240AE">
      <w:pPr>
        <w:pStyle w:val="ListParagraph"/>
        <w:numPr>
          <w:ilvl w:val="0"/>
          <w:numId w:val="1"/>
        </w:numPr>
        <w:ind w:left="360"/>
        <w:jc w:val="both"/>
        <w:rPr>
          <w:rFonts w:ascii="Verdana" w:hAnsi="Verdana"/>
          <w:b/>
          <w:i/>
          <w:sz w:val="20"/>
          <w:lang w:val="es-ES_tradnl"/>
        </w:rPr>
      </w:pPr>
      <w:r w:rsidRPr="00F03375">
        <w:rPr>
          <w:rFonts w:ascii="Verdana" w:hAnsi="Verdana"/>
          <w:sz w:val="20"/>
          <w:lang w:val="es-ES_tradnl"/>
        </w:rPr>
        <w:t xml:space="preserve">Erigir un monumento recordatorio dentro de los 60 días de suscrito el acuerdo. </w:t>
      </w:r>
    </w:p>
    <w:p w:rsidR="00F03375" w:rsidRDefault="00F03375" w:rsidP="00CE2655">
      <w:pPr>
        <w:rPr>
          <w:lang w:val="es-ES_tradnl"/>
        </w:rPr>
      </w:pPr>
    </w:p>
    <w:p w:rsidR="00F03375" w:rsidRDefault="00F03375" w:rsidP="00F03375">
      <w:pPr>
        <w:ind w:left="360" w:hanging="360"/>
        <w:rPr>
          <w:rFonts w:ascii="Verdana" w:hAnsi="Verdana"/>
          <w:b/>
          <w:sz w:val="20"/>
          <w:lang w:val="es-ES_tradnl"/>
        </w:rPr>
      </w:pPr>
      <w:r w:rsidRPr="008A6CF6">
        <w:rPr>
          <w:rFonts w:ascii="Verdana" w:hAnsi="Verdana"/>
          <w:b/>
          <w:sz w:val="20"/>
          <w:lang w:val="es-ES_tradnl"/>
        </w:rPr>
        <w:t>Cumplimiento parcial:</w:t>
      </w:r>
    </w:p>
    <w:p w:rsidR="00F03375" w:rsidRPr="006B2D68" w:rsidRDefault="00F03375" w:rsidP="00F03375">
      <w:pPr>
        <w:ind w:left="360" w:hanging="360"/>
        <w:jc w:val="both"/>
        <w:rPr>
          <w:rFonts w:ascii="Verdana" w:hAnsi="Verdana"/>
          <w:sz w:val="20"/>
          <w:lang w:val="es-ES_tradnl"/>
        </w:rPr>
      </w:pPr>
    </w:p>
    <w:p w:rsidR="00F03375" w:rsidRPr="00F03375" w:rsidRDefault="00F03375" w:rsidP="00F03375">
      <w:pPr>
        <w:pStyle w:val="ListParagraph"/>
        <w:numPr>
          <w:ilvl w:val="0"/>
          <w:numId w:val="1"/>
        </w:numPr>
        <w:ind w:left="360"/>
        <w:jc w:val="both"/>
        <w:rPr>
          <w:rFonts w:ascii="Verdana" w:hAnsi="Verdana"/>
          <w:b/>
          <w:sz w:val="20"/>
          <w:lang w:val="es-ES_tradnl"/>
        </w:rPr>
      </w:pPr>
      <w:r w:rsidRPr="00F03375">
        <w:rPr>
          <w:rFonts w:ascii="Verdana" w:hAnsi="Verdana"/>
          <w:sz w:val="20"/>
          <w:lang w:val="es-ES_tradnl"/>
        </w:rPr>
        <w:t>Pagar la cantidad</w:t>
      </w:r>
      <w:r w:rsidRPr="00F03375">
        <w:rPr>
          <w:rFonts w:ascii="Verdana" w:hAnsi="Verdana"/>
          <w:b/>
          <w:sz w:val="20"/>
          <w:lang w:val="es-ES_tradnl"/>
        </w:rPr>
        <w:t xml:space="preserve"> </w:t>
      </w:r>
      <w:r w:rsidRPr="00F03375">
        <w:rPr>
          <w:rFonts w:ascii="Verdana" w:hAnsi="Verdana"/>
          <w:sz w:val="20"/>
          <w:lang w:val="es-ES_tradnl"/>
        </w:rPr>
        <w:t>de US$175.000,00 (ciento setenta y cinco mil dólares de los Estados Unidos de América) a los beneficiarios de las reparaciones relacionadas con cada una de las siguientes víctimas fallecidas (</w:t>
      </w:r>
      <w:r w:rsidRPr="00F03375">
        <w:rPr>
          <w:rFonts w:ascii="Verdana" w:hAnsi="Verdana"/>
          <w:i/>
          <w:sz w:val="20"/>
          <w:lang w:val="es-ES_tradnl"/>
        </w:rPr>
        <w:t>supra</w:t>
      </w:r>
      <w:r w:rsidRPr="00F03375">
        <w:rPr>
          <w:rFonts w:ascii="Verdana" w:hAnsi="Verdana"/>
          <w:sz w:val="20"/>
          <w:lang w:val="es-ES_tradnl"/>
        </w:rPr>
        <w:t xml:space="preserve"> párr. 29):</w:t>
      </w:r>
      <w:r w:rsidRPr="00F03375">
        <w:rPr>
          <w:rFonts w:ascii="Verdana" w:hAnsi="Verdana"/>
          <w:b/>
          <w:sz w:val="20"/>
          <w:lang w:val="es-ES_tradnl"/>
        </w:rPr>
        <w:t xml:space="preserve"> </w:t>
      </w:r>
      <w:r w:rsidRPr="00F03375">
        <w:rPr>
          <w:rFonts w:ascii="Verdana" w:hAnsi="Verdana"/>
          <w:sz w:val="20"/>
          <w:lang w:val="es-ES_tradnl"/>
        </w:rPr>
        <w:t xml:space="preserve">Placentina Marcela </w:t>
      </w:r>
      <w:proofErr w:type="spellStart"/>
      <w:r w:rsidRPr="00F03375">
        <w:rPr>
          <w:rFonts w:ascii="Verdana" w:hAnsi="Verdana"/>
          <w:sz w:val="20"/>
          <w:lang w:val="es-ES_tradnl"/>
        </w:rPr>
        <w:t>Chumbipuma</w:t>
      </w:r>
      <w:proofErr w:type="spellEnd"/>
      <w:r w:rsidRPr="00F03375">
        <w:rPr>
          <w:rFonts w:ascii="Verdana" w:hAnsi="Verdana"/>
          <w:sz w:val="20"/>
          <w:lang w:val="es-ES_tradnl"/>
        </w:rPr>
        <w:t xml:space="preserve"> Aguirre, Luis Alberto Díaz </w:t>
      </w:r>
      <w:proofErr w:type="spellStart"/>
      <w:r w:rsidRPr="00F03375">
        <w:rPr>
          <w:rFonts w:ascii="Verdana" w:hAnsi="Verdana"/>
          <w:sz w:val="20"/>
          <w:lang w:val="es-ES_tradnl"/>
        </w:rPr>
        <w:t>Astovilca</w:t>
      </w:r>
      <w:proofErr w:type="spellEnd"/>
      <w:r w:rsidRPr="00F03375">
        <w:rPr>
          <w:rFonts w:ascii="Verdana" w:hAnsi="Verdana"/>
          <w:sz w:val="20"/>
          <w:lang w:val="es-ES_tradnl"/>
        </w:rPr>
        <w:t xml:space="preserve">, Octavio Benigno </w:t>
      </w:r>
      <w:proofErr w:type="spellStart"/>
      <w:r w:rsidRPr="00F03375">
        <w:rPr>
          <w:rFonts w:ascii="Verdana" w:hAnsi="Verdana"/>
          <w:sz w:val="20"/>
          <w:lang w:val="es-ES_tradnl"/>
        </w:rPr>
        <w:t>Huamanyauri</w:t>
      </w:r>
      <w:proofErr w:type="spellEnd"/>
      <w:r w:rsidRPr="00F03375">
        <w:rPr>
          <w:rFonts w:ascii="Verdana" w:hAnsi="Verdana"/>
          <w:sz w:val="20"/>
          <w:lang w:val="es-ES_tradnl"/>
        </w:rPr>
        <w:t xml:space="preserve"> </w:t>
      </w:r>
      <w:proofErr w:type="spellStart"/>
      <w:r w:rsidRPr="00F03375">
        <w:rPr>
          <w:rFonts w:ascii="Verdana" w:hAnsi="Verdana"/>
          <w:sz w:val="20"/>
          <w:lang w:val="es-ES_tradnl"/>
        </w:rPr>
        <w:t>Nolazco</w:t>
      </w:r>
      <w:proofErr w:type="spellEnd"/>
      <w:r w:rsidRPr="00F03375">
        <w:rPr>
          <w:rFonts w:ascii="Verdana" w:hAnsi="Verdana"/>
          <w:sz w:val="20"/>
          <w:lang w:val="es-ES_tradnl"/>
        </w:rPr>
        <w:t xml:space="preserve">, Luis Antonio León Borja, Filomeno León </w:t>
      </w:r>
      <w:proofErr w:type="spellStart"/>
      <w:r w:rsidRPr="00F03375">
        <w:rPr>
          <w:rFonts w:ascii="Verdana" w:hAnsi="Verdana"/>
          <w:sz w:val="20"/>
          <w:lang w:val="es-ES_tradnl"/>
        </w:rPr>
        <w:t>León</w:t>
      </w:r>
      <w:proofErr w:type="spellEnd"/>
      <w:r w:rsidRPr="00F03375">
        <w:rPr>
          <w:rFonts w:ascii="Verdana" w:hAnsi="Verdana"/>
          <w:sz w:val="20"/>
          <w:lang w:val="es-ES_tradnl"/>
        </w:rPr>
        <w:t xml:space="preserve">, Lucio Quispe </w:t>
      </w:r>
      <w:proofErr w:type="spellStart"/>
      <w:r w:rsidRPr="00F03375">
        <w:rPr>
          <w:rFonts w:ascii="Verdana" w:hAnsi="Verdana"/>
          <w:sz w:val="20"/>
          <w:lang w:val="es-ES_tradnl"/>
        </w:rPr>
        <w:t>Huanaco</w:t>
      </w:r>
      <w:proofErr w:type="spellEnd"/>
      <w:r w:rsidRPr="00F03375">
        <w:rPr>
          <w:rFonts w:ascii="Verdana" w:hAnsi="Verdana"/>
          <w:sz w:val="20"/>
          <w:lang w:val="es-ES_tradnl"/>
        </w:rPr>
        <w:t xml:space="preserve">, Tito Ricardo Ramírez Alberto, Teobaldo Ríos Lira, Manuel Isaías Ríos Pérez, Javier Manuel Ríos Rojas, Alejandro Rosales Alejandro, Nelly María </w:t>
      </w:r>
      <w:proofErr w:type="spellStart"/>
      <w:r w:rsidRPr="00F03375">
        <w:rPr>
          <w:rFonts w:ascii="Verdana" w:hAnsi="Verdana"/>
          <w:sz w:val="20"/>
          <w:lang w:val="es-ES_tradnl"/>
        </w:rPr>
        <w:t>Rubina</w:t>
      </w:r>
      <w:proofErr w:type="spellEnd"/>
      <w:r w:rsidRPr="00F03375">
        <w:rPr>
          <w:rFonts w:ascii="Verdana" w:hAnsi="Verdana"/>
          <w:sz w:val="20"/>
          <w:lang w:val="es-ES_tradnl"/>
        </w:rPr>
        <w:t xml:space="preserve"> </w:t>
      </w:r>
      <w:proofErr w:type="spellStart"/>
      <w:r w:rsidRPr="00F03375">
        <w:rPr>
          <w:rFonts w:ascii="Verdana" w:hAnsi="Verdana"/>
          <w:sz w:val="20"/>
          <w:lang w:val="es-ES_tradnl"/>
        </w:rPr>
        <w:t>Arquiñigo</w:t>
      </w:r>
      <w:proofErr w:type="spellEnd"/>
      <w:r w:rsidRPr="00F03375">
        <w:rPr>
          <w:rFonts w:ascii="Verdana" w:hAnsi="Verdana"/>
          <w:sz w:val="20"/>
          <w:lang w:val="es-ES_tradnl"/>
        </w:rPr>
        <w:t xml:space="preserve">, </w:t>
      </w:r>
      <w:proofErr w:type="spellStart"/>
      <w:r w:rsidRPr="00F03375">
        <w:rPr>
          <w:rFonts w:ascii="Verdana" w:hAnsi="Verdana"/>
          <w:sz w:val="20"/>
          <w:lang w:val="es-ES_tradnl"/>
        </w:rPr>
        <w:t>Odar</w:t>
      </w:r>
      <w:proofErr w:type="spellEnd"/>
      <w:r w:rsidRPr="00F03375">
        <w:rPr>
          <w:rFonts w:ascii="Verdana" w:hAnsi="Verdana"/>
          <w:sz w:val="20"/>
          <w:lang w:val="es-ES_tradnl"/>
        </w:rPr>
        <w:t xml:space="preserve"> </w:t>
      </w:r>
      <w:proofErr w:type="spellStart"/>
      <w:r w:rsidRPr="00F03375">
        <w:rPr>
          <w:rFonts w:ascii="Verdana" w:hAnsi="Verdana"/>
          <w:sz w:val="20"/>
          <w:lang w:val="es-ES_tradnl"/>
        </w:rPr>
        <w:t>Mender</w:t>
      </w:r>
      <w:proofErr w:type="spellEnd"/>
      <w:r w:rsidRPr="00F03375">
        <w:rPr>
          <w:rFonts w:ascii="Verdana" w:hAnsi="Verdana"/>
          <w:sz w:val="20"/>
          <w:lang w:val="es-ES_tradnl"/>
        </w:rPr>
        <w:t xml:space="preserve"> (o Méndez) Sifuentes </w:t>
      </w:r>
      <w:proofErr w:type="spellStart"/>
      <w:r w:rsidRPr="00F03375">
        <w:rPr>
          <w:rFonts w:ascii="Verdana" w:hAnsi="Verdana"/>
          <w:sz w:val="20"/>
          <w:lang w:val="es-ES_tradnl"/>
        </w:rPr>
        <w:t>Nuñez</w:t>
      </w:r>
      <w:proofErr w:type="spellEnd"/>
      <w:r w:rsidRPr="00F03375">
        <w:rPr>
          <w:rFonts w:ascii="Verdana" w:hAnsi="Verdana"/>
          <w:sz w:val="20"/>
          <w:lang w:val="es-ES_tradnl"/>
        </w:rPr>
        <w:t xml:space="preserve">, y Benedicta </w:t>
      </w:r>
      <w:proofErr w:type="spellStart"/>
      <w:r w:rsidRPr="00F03375">
        <w:rPr>
          <w:rFonts w:ascii="Verdana" w:hAnsi="Verdana"/>
          <w:sz w:val="20"/>
          <w:lang w:val="es-ES_tradnl"/>
        </w:rPr>
        <w:t>Yanque</w:t>
      </w:r>
      <w:proofErr w:type="spellEnd"/>
      <w:r w:rsidRPr="00F03375">
        <w:rPr>
          <w:rFonts w:ascii="Verdana" w:hAnsi="Verdana"/>
          <w:sz w:val="20"/>
          <w:lang w:val="es-ES_tradnl"/>
        </w:rPr>
        <w:t xml:space="preserve"> Churo; </w:t>
      </w:r>
    </w:p>
    <w:p w:rsidR="00F03375" w:rsidRPr="009B6FDF" w:rsidRDefault="00F03375" w:rsidP="00F03375">
      <w:pPr>
        <w:pStyle w:val="ListParagraph"/>
        <w:ind w:left="360" w:hanging="360"/>
        <w:jc w:val="both"/>
        <w:rPr>
          <w:rFonts w:ascii="Verdana" w:hAnsi="Verdana"/>
          <w:b/>
          <w:sz w:val="20"/>
          <w:lang w:val="es-ES_tradnl"/>
        </w:rPr>
      </w:pPr>
    </w:p>
    <w:p w:rsidR="00F03375" w:rsidRPr="009B6FDF" w:rsidRDefault="00F03375" w:rsidP="00F03375">
      <w:pPr>
        <w:pStyle w:val="ListParagraph"/>
        <w:numPr>
          <w:ilvl w:val="0"/>
          <w:numId w:val="1"/>
        </w:numPr>
        <w:ind w:left="360"/>
        <w:jc w:val="both"/>
        <w:rPr>
          <w:rFonts w:ascii="Verdana" w:hAnsi="Verdana"/>
          <w:b/>
          <w:sz w:val="20"/>
          <w:lang w:val="es-ES_tradnl"/>
        </w:rPr>
      </w:pPr>
      <w:r w:rsidRPr="009B6FDF">
        <w:rPr>
          <w:rFonts w:ascii="Verdana" w:hAnsi="Verdana"/>
          <w:sz w:val="20"/>
          <w:lang w:val="es-ES_tradnl"/>
        </w:rPr>
        <w:t>Pagar la cantidad de</w:t>
      </w:r>
      <w:r w:rsidRPr="009B6FDF">
        <w:rPr>
          <w:rFonts w:ascii="Verdana" w:hAnsi="Verdana"/>
          <w:b/>
          <w:sz w:val="20"/>
          <w:lang w:val="es-ES_tradnl"/>
        </w:rPr>
        <w:t xml:space="preserve"> </w:t>
      </w:r>
      <w:r w:rsidRPr="009B6FDF">
        <w:rPr>
          <w:rFonts w:ascii="Verdana" w:hAnsi="Verdana"/>
          <w:sz w:val="20"/>
          <w:lang w:val="es-ES_tradnl"/>
        </w:rPr>
        <w:t xml:space="preserve">US$250.000,00 (doscientos cincuenta mil dólares de los Estados Unidos de América) a los beneficiarios de las reparaciones relacionadas con la víctima fallecida Máximo León </w:t>
      </w:r>
      <w:proofErr w:type="spellStart"/>
      <w:r w:rsidRPr="009B6FDF">
        <w:rPr>
          <w:rFonts w:ascii="Verdana" w:hAnsi="Verdana"/>
          <w:sz w:val="20"/>
          <w:lang w:val="es-ES_tradnl"/>
        </w:rPr>
        <w:t>León</w:t>
      </w:r>
      <w:proofErr w:type="spellEnd"/>
      <w:r w:rsidRPr="009B6FDF">
        <w:rPr>
          <w:rFonts w:ascii="Verdana" w:hAnsi="Verdana"/>
          <w:sz w:val="20"/>
          <w:lang w:val="es-ES_tradnl"/>
        </w:rPr>
        <w:t>.</w:t>
      </w:r>
    </w:p>
    <w:p w:rsidR="00F03375" w:rsidRDefault="00F03375" w:rsidP="00F03375">
      <w:pPr>
        <w:jc w:val="both"/>
        <w:rPr>
          <w:rFonts w:ascii="Verdana" w:hAnsi="Verdana"/>
          <w:color w:val="00B0F0"/>
          <w:sz w:val="20"/>
          <w:lang w:val="es-MX"/>
        </w:rPr>
      </w:pPr>
      <w:bookmarkStart w:id="0" w:name="_GoBack"/>
      <w:bookmarkEnd w:id="0"/>
    </w:p>
    <w:p w:rsidR="00F03375" w:rsidRDefault="00F03375" w:rsidP="00F03375">
      <w:pPr>
        <w:jc w:val="both"/>
        <w:rPr>
          <w:rFonts w:ascii="Verdana" w:hAnsi="Verdana"/>
          <w:sz w:val="20"/>
          <w:szCs w:val="22"/>
          <w:lang w:val="es-MX"/>
        </w:rPr>
      </w:pPr>
      <w:r>
        <w:rPr>
          <w:rFonts w:ascii="Verdana" w:hAnsi="Verdana"/>
          <w:sz w:val="20"/>
          <w:lang w:val="es-MX"/>
        </w:rPr>
        <w:t xml:space="preserve">En los Considerandos 6 a 9 de la resolución de la Corte de 7 de diciembre de 2009 se explica lo que continúa pendiente de cumplimiento respecto a las medidas de reparación </w:t>
      </w:r>
      <w:r w:rsidR="00BD765B">
        <w:rPr>
          <w:rFonts w:ascii="Verdana" w:hAnsi="Verdana"/>
          <w:sz w:val="20"/>
          <w:lang w:val="es-MX"/>
        </w:rPr>
        <w:t>enunciadas</w:t>
      </w:r>
      <w:r w:rsidR="00AA1B5C">
        <w:rPr>
          <w:rFonts w:ascii="Verdana" w:hAnsi="Verdana"/>
          <w:sz w:val="20"/>
          <w:lang w:val="es-MX"/>
        </w:rPr>
        <w:t xml:space="preserve"> en</w:t>
      </w:r>
      <w:r>
        <w:rPr>
          <w:rFonts w:ascii="Verdana" w:hAnsi="Verdana"/>
          <w:sz w:val="20"/>
          <w:lang w:val="es-MX"/>
        </w:rPr>
        <w:t xml:space="preserve"> los numerales 6 y 7</w:t>
      </w:r>
      <w:r w:rsidR="00AA1B5C">
        <w:rPr>
          <w:rFonts w:ascii="Verdana" w:hAnsi="Verdana"/>
          <w:sz w:val="20"/>
          <w:lang w:val="es-MX"/>
        </w:rPr>
        <w:t xml:space="preserve"> d</w:t>
      </w:r>
      <w:r>
        <w:rPr>
          <w:rFonts w:ascii="Verdana" w:hAnsi="Verdana"/>
          <w:sz w:val="20"/>
          <w:lang w:val="es-MX"/>
        </w:rPr>
        <w:t>el presente documento:</w:t>
      </w:r>
    </w:p>
    <w:p w:rsidR="00F03375" w:rsidRPr="001871D2" w:rsidRDefault="00F03375" w:rsidP="00F03375">
      <w:pPr>
        <w:ind w:left="360" w:right="720"/>
        <w:rPr>
          <w:rFonts w:ascii="Verdana" w:hAnsi="Verdana"/>
          <w:b/>
          <w:sz w:val="20"/>
          <w:lang w:val="es-MX"/>
        </w:rPr>
      </w:pPr>
    </w:p>
    <w:p w:rsidR="00F03375" w:rsidRPr="001871D2" w:rsidRDefault="00F03375" w:rsidP="00F03375">
      <w:pPr>
        <w:ind w:left="360" w:right="720"/>
        <w:jc w:val="both"/>
        <w:rPr>
          <w:rFonts w:ascii="Verdana" w:hAnsi="Verdana"/>
          <w:sz w:val="18"/>
          <w:szCs w:val="18"/>
          <w:lang w:val="es-MX"/>
        </w:rPr>
      </w:pPr>
      <w:r w:rsidRPr="001871D2">
        <w:rPr>
          <w:rFonts w:ascii="Verdana" w:hAnsi="Verdana"/>
          <w:sz w:val="18"/>
          <w:szCs w:val="18"/>
          <w:lang w:val="es-MX"/>
        </w:rPr>
        <w:t>6.</w:t>
      </w:r>
      <w:r w:rsidRPr="001871D2">
        <w:rPr>
          <w:rFonts w:ascii="Verdana" w:hAnsi="Verdana"/>
          <w:sz w:val="18"/>
          <w:szCs w:val="18"/>
          <w:lang w:val="es-MX"/>
        </w:rPr>
        <w:tab/>
        <w:t xml:space="preserve">Que en relación con el pago de la indemnización al señor Martín León </w:t>
      </w:r>
      <w:proofErr w:type="spellStart"/>
      <w:r w:rsidRPr="001871D2">
        <w:rPr>
          <w:rFonts w:ascii="Verdana" w:hAnsi="Verdana"/>
          <w:sz w:val="18"/>
          <w:szCs w:val="18"/>
          <w:lang w:val="es-MX"/>
        </w:rPr>
        <w:t>Lunazco</w:t>
      </w:r>
      <w:proofErr w:type="spellEnd"/>
      <w:r w:rsidRPr="001871D2">
        <w:rPr>
          <w:rFonts w:ascii="Verdana" w:hAnsi="Verdana"/>
          <w:sz w:val="18"/>
          <w:szCs w:val="18"/>
          <w:lang w:val="es-MX"/>
        </w:rPr>
        <w:t xml:space="preserve">, hijo de la víctima Máximo León </w:t>
      </w:r>
      <w:proofErr w:type="spellStart"/>
      <w:r w:rsidRPr="001871D2">
        <w:rPr>
          <w:rFonts w:ascii="Verdana" w:hAnsi="Verdana"/>
          <w:sz w:val="18"/>
          <w:szCs w:val="18"/>
          <w:lang w:val="es-MX"/>
        </w:rPr>
        <w:t>León</w:t>
      </w:r>
      <w:proofErr w:type="spellEnd"/>
      <w:r w:rsidRPr="001871D2">
        <w:rPr>
          <w:rFonts w:ascii="Verdana" w:hAnsi="Verdana"/>
          <w:sz w:val="18"/>
          <w:szCs w:val="18"/>
          <w:lang w:val="es-MX"/>
        </w:rPr>
        <w:t xml:space="preserve"> (punto resolutivo 2.c) de la Sentencia de reparaciones de 30 de noviembre de 2001); el pago de los intereses moratorios respecto a las indemnizaciones correspondientes a las beneficiarias Cristina Ríos Rojas, hija de la víctima fallecida Manuel Isaías Ríos Pérez, y Rocío Genoveva Rosales Capillo, hija de la víctima fallecida Alejandro Rosales Alejandro (punto declarativo 3.d de la Resolución de 22 de septiembre de 2005 y punto resolutivo 2.b de la Sentencia de reparaciones de 30 de noviembre de 2001), y el pago del monto de intereses moratorios adeudados a </w:t>
      </w:r>
      <w:proofErr w:type="spellStart"/>
      <w:r w:rsidRPr="001871D2">
        <w:rPr>
          <w:rFonts w:ascii="Verdana" w:hAnsi="Verdana"/>
          <w:sz w:val="18"/>
          <w:szCs w:val="18"/>
          <w:lang w:val="es-MX"/>
        </w:rPr>
        <w:t>Maximina</w:t>
      </w:r>
      <w:proofErr w:type="spellEnd"/>
      <w:r w:rsidRPr="001871D2">
        <w:rPr>
          <w:rFonts w:ascii="Verdana" w:hAnsi="Verdana"/>
          <w:sz w:val="18"/>
          <w:szCs w:val="18"/>
          <w:lang w:val="es-MX"/>
        </w:rPr>
        <w:t xml:space="preserve"> Pascuala Alberto </w:t>
      </w:r>
      <w:proofErr w:type="spellStart"/>
      <w:r w:rsidRPr="001871D2">
        <w:rPr>
          <w:rFonts w:ascii="Verdana" w:hAnsi="Verdana"/>
          <w:sz w:val="18"/>
          <w:szCs w:val="18"/>
          <w:lang w:val="es-MX"/>
        </w:rPr>
        <w:t>Falero</w:t>
      </w:r>
      <w:proofErr w:type="spellEnd"/>
      <w:r w:rsidRPr="001871D2">
        <w:rPr>
          <w:rFonts w:ascii="Verdana" w:hAnsi="Verdana"/>
          <w:sz w:val="18"/>
          <w:szCs w:val="18"/>
          <w:lang w:val="es-MX"/>
        </w:rPr>
        <w:t xml:space="preserve"> (punto resolutivo 2.b e inciso final en concordancia con el párrafo 36 de la Sentencia de reparaciones de 30 de noviembre de 2001), el Estado no ha remitido información actualizada sobre el cumplimiento de dichas obligaciones, desde la última resolución de 4 de agosto de 2008. </w:t>
      </w:r>
    </w:p>
    <w:p w:rsidR="00F03375" w:rsidRPr="001871D2" w:rsidRDefault="00F03375" w:rsidP="00F03375">
      <w:pPr>
        <w:ind w:left="360" w:right="720"/>
        <w:jc w:val="both"/>
        <w:rPr>
          <w:rFonts w:ascii="Verdana" w:hAnsi="Verdana"/>
          <w:sz w:val="18"/>
          <w:szCs w:val="18"/>
          <w:lang w:val="es-MX"/>
        </w:rPr>
      </w:pPr>
      <w:r w:rsidRPr="001871D2">
        <w:rPr>
          <w:rFonts w:ascii="Verdana" w:hAnsi="Verdana"/>
          <w:sz w:val="18"/>
          <w:szCs w:val="18"/>
          <w:lang w:val="es-MX"/>
        </w:rPr>
        <w:t>7.</w:t>
      </w:r>
      <w:r w:rsidRPr="001871D2">
        <w:rPr>
          <w:rFonts w:ascii="Verdana" w:hAnsi="Verdana"/>
          <w:sz w:val="18"/>
          <w:szCs w:val="18"/>
          <w:lang w:val="es-MX"/>
        </w:rPr>
        <w:tab/>
        <w:t>Que los representantes no han presentado observaciones al respecto.</w:t>
      </w:r>
    </w:p>
    <w:p w:rsidR="00F03375" w:rsidRPr="001871D2" w:rsidRDefault="00F03375" w:rsidP="00F03375">
      <w:pPr>
        <w:ind w:left="360" w:right="720"/>
        <w:jc w:val="both"/>
        <w:rPr>
          <w:rFonts w:ascii="Verdana" w:hAnsi="Verdana"/>
          <w:sz w:val="18"/>
          <w:szCs w:val="18"/>
          <w:lang w:val="es-MX"/>
        </w:rPr>
      </w:pPr>
      <w:r w:rsidRPr="001871D2">
        <w:rPr>
          <w:rFonts w:ascii="Verdana" w:hAnsi="Verdana"/>
          <w:sz w:val="18"/>
          <w:szCs w:val="18"/>
          <w:lang w:val="es-MX"/>
        </w:rPr>
        <w:t>8.</w:t>
      </w:r>
      <w:r w:rsidRPr="001871D2">
        <w:rPr>
          <w:rFonts w:ascii="Verdana" w:hAnsi="Verdana"/>
          <w:sz w:val="18"/>
          <w:szCs w:val="18"/>
          <w:lang w:val="es-MX"/>
        </w:rPr>
        <w:tab/>
        <w:t>Que la Comisión Interamericana indicó que no cuenta con información actualizada al respecto para analizar el grado de cumplimiento de los puntos pendientes de acatamiento.</w:t>
      </w:r>
    </w:p>
    <w:p w:rsidR="00F03375" w:rsidRPr="001871D2" w:rsidRDefault="00F03375" w:rsidP="00F03375">
      <w:pPr>
        <w:ind w:left="360" w:right="720"/>
        <w:jc w:val="both"/>
        <w:rPr>
          <w:rFonts w:ascii="Verdana" w:hAnsi="Verdana"/>
          <w:sz w:val="18"/>
          <w:szCs w:val="18"/>
          <w:lang w:val="es-MX"/>
        </w:rPr>
      </w:pPr>
      <w:r w:rsidRPr="001871D2">
        <w:rPr>
          <w:rFonts w:ascii="Verdana" w:hAnsi="Verdana"/>
          <w:sz w:val="18"/>
          <w:szCs w:val="18"/>
          <w:lang w:val="es-MX"/>
        </w:rPr>
        <w:t>9.</w:t>
      </w:r>
      <w:r w:rsidRPr="001871D2">
        <w:rPr>
          <w:rFonts w:ascii="Verdana" w:hAnsi="Verdana"/>
          <w:sz w:val="18"/>
          <w:szCs w:val="18"/>
          <w:lang w:val="es-MX"/>
        </w:rPr>
        <w:tab/>
        <w:t>Que esta Presidencia observa que sobre estas medidas de reparación el Tribunal simplemente no cuenta con la información necesaria para evaluar su cumplimiento (supra Considerando 6), por lo cual resulta indispensable que el Estado informe detalladamente las acciones emprendidas por sus autoridades al respecto. Resulta igualmente necesario que los representantes y la Comisión Interamericana presenten sus observaciones a lo informado por el Estado.</w:t>
      </w:r>
    </w:p>
    <w:p w:rsidR="00F03375" w:rsidRPr="00F03375" w:rsidRDefault="00F03375" w:rsidP="00CE2655">
      <w:pPr>
        <w:rPr>
          <w:lang w:val="es-MX"/>
        </w:rPr>
      </w:pPr>
    </w:p>
    <w:sectPr w:rsidR="00F03375" w:rsidRPr="00F033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55" w:rsidRDefault="00CE2655" w:rsidP="00CE2655">
      <w:r>
        <w:separator/>
      </w:r>
    </w:p>
  </w:endnote>
  <w:endnote w:type="continuationSeparator" w:id="0">
    <w:p w:rsidR="00CE2655" w:rsidRDefault="00CE2655" w:rsidP="00CE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55" w:rsidRPr="00A950A1" w:rsidRDefault="00CE2655" w:rsidP="00CE2655">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E2655" w:rsidRPr="00CE2655" w:rsidRDefault="00CE2655">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55" w:rsidRDefault="00CE2655" w:rsidP="00CE2655">
      <w:r>
        <w:separator/>
      </w:r>
    </w:p>
  </w:footnote>
  <w:footnote w:type="continuationSeparator" w:id="0">
    <w:p w:rsidR="00CE2655" w:rsidRDefault="00CE2655" w:rsidP="00CE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27291"/>
      <w:docPartObj>
        <w:docPartGallery w:val="Page Numbers (Top of Page)"/>
        <w:docPartUnique/>
      </w:docPartObj>
    </w:sdtPr>
    <w:sdtEndPr>
      <w:rPr>
        <w:noProof/>
      </w:rPr>
    </w:sdtEndPr>
    <w:sdtContent>
      <w:p w:rsidR="00CE2655" w:rsidRDefault="00CE2655">
        <w:pPr>
          <w:pStyle w:val="Header"/>
          <w:jc w:val="right"/>
        </w:pPr>
        <w:r w:rsidRPr="00CE2655">
          <w:rPr>
            <w:rFonts w:ascii="Verdana" w:hAnsi="Verdana"/>
            <w:sz w:val="20"/>
            <w:szCs w:val="20"/>
          </w:rPr>
          <w:fldChar w:fldCharType="begin"/>
        </w:r>
        <w:r w:rsidRPr="00CE2655">
          <w:rPr>
            <w:rFonts w:ascii="Verdana" w:hAnsi="Verdana"/>
            <w:sz w:val="20"/>
            <w:szCs w:val="20"/>
          </w:rPr>
          <w:instrText xml:space="preserve"> PAGE   \* MERGEFORMAT </w:instrText>
        </w:r>
        <w:r w:rsidRPr="00CE2655">
          <w:rPr>
            <w:rFonts w:ascii="Verdana" w:hAnsi="Verdana"/>
            <w:sz w:val="20"/>
            <w:szCs w:val="20"/>
          </w:rPr>
          <w:fldChar w:fldCharType="separate"/>
        </w:r>
        <w:r w:rsidR="00BD765B">
          <w:rPr>
            <w:rFonts w:ascii="Verdana" w:hAnsi="Verdana"/>
            <w:noProof/>
            <w:sz w:val="20"/>
            <w:szCs w:val="20"/>
          </w:rPr>
          <w:t>1</w:t>
        </w:r>
        <w:r w:rsidRPr="00CE2655">
          <w:rPr>
            <w:rFonts w:ascii="Verdana" w:hAnsi="Verdana"/>
            <w:noProof/>
            <w:sz w:val="20"/>
            <w:szCs w:val="20"/>
          </w:rPr>
          <w:fldChar w:fldCharType="end"/>
        </w:r>
      </w:p>
    </w:sdtContent>
  </w:sdt>
  <w:p w:rsidR="00CE2655" w:rsidRDefault="00CE2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6CF4"/>
    <w:multiLevelType w:val="hybridMultilevel"/>
    <w:tmpl w:val="BAB64B3A"/>
    <w:lvl w:ilvl="0" w:tplc="74320A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F5624D"/>
    <w:multiLevelType w:val="hybridMultilevel"/>
    <w:tmpl w:val="153632F4"/>
    <w:lvl w:ilvl="0" w:tplc="09C2CD6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55"/>
    <w:rsid w:val="00144E91"/>
    <w:rsid w:val="00233E5C"/>
    <w:rsid w:val="003A7E5E"/>
    <w:rsid w:val="004A13D0"/>
    <w:rsid w:val="009832C0"/>
    <w:rsid w:val="00AA1B5C"/>
    <w:rsid w:val="00BD765B"/>
    <w:rsid w:val="00C240AE"/>
    <w:rsid w:val="00CE2655"/>
    <w:rsid w:val="00F0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55"/>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655"/>
    <w:pPr>
      <w:tabs>
        <w:tab w:val="center" w:pos="4680"/>
        <w:tab w:val="right" w:pos="9360"/>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2655"/>
  </w:style>
  <w:style w:type="paragraph" w:styleId="Footer">
    <w:name w:val="footer"/>
    <w:basedOn w:val="Normal"/>
    <w:link w:val="FooterChar"/>
    <w:uiPriority w:val="99"/>
    <w:unhideWhenUsed/>
    <w:rsid w:val="00CE2655"/>
    <w:pPr>
      <w:tabs>
        <w:tab w:val="center" w:pos="4680"/>
        <w:tab w:val="right" w:pos="9360"/>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2655"/>
  </w:style>
  <w:style w:type="paragraph" w:styleId="ListParagraph">
    <w:name w:val="List Paragraph"/>
    <w:basedOn w:val="Normal"/>
    <w:uiPriority w:val="34"/>
    <w:qFormat/>
    <w:rsid w:val="00C24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55"/>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655"/>
    <w:pPr>
      <w:tabs>
        <w:tab w:val="center" w:pos="4680"/>
        <w:tab w:val="right" w:pos="9360"/>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2655"/>
  </w:style>
  <w:style w:type="paragraph" w:styleId="Footer">
    <w:name w:val="footer"/>
    <w:basedOn w:val="Normal"/>
    <w:link w:val="FooterChar"/>
    <w:uiPriority w:val="99"/>
    <w:unhideWhenUsed/>
    <w:rsid w:val="00CE2655"/>
    <w:pPr>
      <w:tabs>
        <w:tab w:val="center" w:pos="4680"/>
        <w:tab w:val="right" w:pos="9360"/>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2655"/>
  </w:style>
  <w:style w:type="paragraph" w:styleId="ListParagraph">
    <w:name w:val="List Paragraph"/>
    <w:basedOn w:val="Normal"/>
    <w:uiPriority w:val="34"/>
    <w:qFormat/>
    <w:rsid w:val="00C24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8</cp:revision>
  <dcterms:created xsi:type="dcterms:W3CDTF">2016-11-07T20:14:00Z</dcterms:created>
  <dcterms:modified xsi:type="dcterms:W3CDTF">2016-11-10T23:17:00Z</dcterms:modified>
</cp:coreProperties>
</file>