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3"/>
        <w:ind w:right="118"/>
        <w:jc w:val="right"/>
      </w:pPr>
      <w:r>
        <w:rPr/>
        <w:t>1</w:t>
      </w:r>
    </w:p>
    <w:p>
      <w:pPr>
        <w:pStyle w:val="BodyText"/>
      </w:pPr>
    </w:p>
    <w:p>
      <w:pPr>
        <w:pStyle w:val="Title"/>
        <w:rPr>
          <w:u w:val="none"/>
        </w:rPr>
      </w:pPr>
      <w:r>
        <w:rPr>
          <w:u w:val="single"/>
        </w:rPr>
        <w:t>Caso</w:t>
      </w:r>
      <w:r>
        <w:rPr>
          <w:spacing w:val="-7"/>
          <w:u w:val="single"/>
        </w:rPr>
        <w:t> </w:t>
      </w:r>
      <w:r>
        <w:rPr>
          <w:u w:val="single"/>
        </w:rPr>
        <w:t>Gómez</w:t>
      </w:r>
      <w:r>
        <w:rPr>
          <w:spacing w:val="-6"/>
          <w:u w:val="single"/>
        </w:rPr>
        <w:t> </w:t>
      </w:r>
      <w:r>
        <w:rPr>
          <w:u w:val="single"/>
        </w:rPr>
        <w:t>Palomino</w:t>
      </w:r>
      <w:r>
        <w:rPr>
          <w:spacing w:val="-2"/>
          <w:u w:val="single"/>
        </w:rPr>
        <w:t> </w:t>
      </w:r>
      <w:r>
        <w:rPr>
          <w:i/>
          <w:u w:val="single"/>
        </w:rPr>
        <w:t>Vs.</w:t>
      </w:r>
      <w:r>
        <w:rPr>
          <w:i/>
          <w:spacing w:val="-2"/>
          <w:u w:val="single"/>
        </w:rPr>
        <w:t> </w:t>
      </w:r>
      <w:r>
        <w:rPr>
          <w:u w:val="single"/>
        </w:rPr>
        <w:t>Perú:</w:t>
      </w:r>
      <w:r>
        <w:rPr>
          <w:spacing w:val="-7"/>
          <w:u w:val="single"/>
        </w:rPr>
        <w:t> </w:t>
      </w:r>
      <w:r>
        <w:rPr>
          <w:u w:val="single"/>
        </w:rPr>
        <w:t>reparaciones</w:t>
      </w:r>
      <w:r>
        <w:rPr>
          <w:spacing w:val="-1"/>
          <w:u w:val="single"/>
        </w:rPr>
        <w:t> </w:t>
      </w:r>
      <w:r>
        <w:rPr>
          <w:u w:val="single"/>
        </w:rPr>
        <w:t>pendientes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cumplimiento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100" w:after="0"/>
        <w:ind w:left="483" w:right="114" w:hanging="360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investigar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denunciados,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identificar,</w:t>
      </w:r>
      <w:r>
        <w:rPr>
          <w:spacing w:val="-6"/>
          <w:sz w:val="20"/>
        </w:rPr>
        <w:t> </w:t>
      </w:r>
      <w:r>
        <w:rPr>
          <w:sz w:val="20"/>
        </w:rPr>
        <w:t>juzgar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sancionar a los responsables, en los términos de los párrafos 137 a 140 y 153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113" w:hanging="360"/>
        <w:jc w:val="both"/>
        <w:rPr>
          <w:sz w:val="20"/>
        </w:rPr>
      </w:pPr>
      <w:r>
        <w:rPr>
          <w:sz w:val="20"/>
        </w:rPr>
        <w:t>Brindar gratuitamente, sin cargo alguno y por medio de sus instituciones de salud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especializadas,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tratamiento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médico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psicológico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señoras</w:t>
      </w:r>
      <w:r>
        <w:rPr>
          <w:spacing w:val="-10"/>
          <w:sz w:val="20"/>
        </w:rPr>
        <w:t> </w:t>
      </w:r>
      <w:r>
        <w:rPr>
          <w:sz w:val="20"/>
        </w:rPr>
        <w:t>Victoria</w:t>
      </w:r>
      <w:r>
        <w:rPr>
          <w:spacing w:val="-15"/>
          <w:sz w:val="20"/>
        </w:rPr>
        <w:t> </w:t>
      </w:r>
      <w:r>
        <w:rPr>
          <w:sz w:val="20"/>
        </w:rPr>
        <w:t>Margarita</w:t>
      </w:r>
      <w:r>
        <w:rPr>
          <w:spacing w:val="-18"/>
          <w:sz w:val="20"/>
        </w:rPr>
        <w:t> </w:t>
      </w:r>
      <w:r>
        <w:rPr>
          <w:sz w:val="20"/>
        </w:rPr>
        <w:t>Palomino</w:t>
      </w:r>
      <w:r>
        <w:rPr>
          <w:spacing w:val="-68"/>
          <w:sz w:val="20"/>
        </w:rPr>
        <w:t> </w:t>
      </w:r>
      <w:r>
        <w:rPr>
          <w:sz w:val="20"/>
        </w:rPr>
        <w:t>Buitrón, Esmila Liliana Conislla Cárdenas, María Dolores Gómez Palomino, Luzmila Sotelo</w:t>
      </w:r>
      <w:r>
        <w:rPr>
          <w:spacing w:val="-68"/>
          <w:sz w:val="20"/>
        </w:rPr>
        <w:t> </w:t>
      </w:r>
      <w:r>
        <w:rPr>
          <w:sz w:val="20"/>
        </w:rPr>
        <w:t>Palomino, Emiliano Palomino Buitrón, Mónica Palomino Buitrón, Rosa Palomino Buitrón y</w:t>
      </w:r>
      <w:r>
        <w:rPr>
          <w:spacing w:val="1"/>
          <w:sz w:val="20"/>
        </w:rPr>
        <w:t> </w:t>
      </w:r>
      <w:r>
        <w:rPr>
          <w:sz w:val="20"/>
        </w:rPr>
        <w:t>Margarita Palomino Buitrón, y la niña Ana María Gómez Guevara, en los términos de los</w:t>
      </w:r>
      <w:r>
        <w:rPr>
          <w:spacing w:val="1"/>
          <w:sz w:val="20"/>
        </w:rPr>
        <w:t> </w:t>
      </w:r>
      <w:r>
        <w:rPr>
          <w:sz w:val="20"/>
        </w:rPr>
        <w:t>párrafos 143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153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37" w:lineRule="auto" w:before="1" w:after="0"/>
        <w:ind w:left="484" w:right="114" w:hanging="360"/>
        <w:jc w:val="both"/>
        <w:rPr>
          <w:sz w:val="20"/>
        </w:rPr>
      </w:pPr>
      <w:r>
        <w:rPr>
          <w:sz w:val="20"/>
        </w:rPr>
        <w:t>Implementar los programas de educación establecidos en la presente Sentencia, en los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144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148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153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"/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Cumplimiento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parcial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4" w:right="119" w:hanging="360"/>
        <w:jc w:val="both"/>
        <w:rPr>
          <w:sz w:val="20"/>
        </w:rPr>
      </w:pPr>
      <w:r>
        <w:rPr>
          <w:sz w:val="20"/>
        </w:rPr>
        <w:t>Pagar las cantidades fijadas en el párrafo 129 de la presente Sentencia, por concepto de</w:t>
      </w:r>
      <w:r>
        <w:rPr>
          <w:spacing w:val="-68"/>
          <w:sz w:val="20"/>
        </w:rPr>
        <w:t> </w:t>
      </w:r>
      <w:r>
        <w:rPr>
          <w:sz w:val="20"/>
        </w:rPr>
        <w:t>daño</w:t>
      </w:r>
      <w:r>
        <w:rPr>
          <w:spacing w:val="-1"/>
          <w:sz w:val="20"/>
        </w:rPr>
        <w:t> </w:t>
      </w:r>
      <w:r>
        <w:rPr>
          <w:sz w:val="20"/>
        </w:rPr>
        <w:t>material,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-6"/>
          <w:sz w:val="20"/>
        </w:rPr>
        <w:t> </w:t>
      </w:r>
      <w:r>
        <w:rPr>
          <w:sz w:val="20"/>
        </w:rPr>
        <w:t>los párrafos</w:t>
      </w:r>
      <w:r>
        <w:rPr>
          <w:spacing w:val="1"/>
          <w:sz w:val="20"/>
        </w:rPr>
        <w:t> </w:t>
      </w:r>
      <w:r>
        <w:rPr>
          <w:sz w:val="20"/>
        </w:rPr>
        <w:t>124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129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153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4" w:right="119" w:hanging="360"/>
        <w:jc w:val="both"/>
        <w:rPr>
          <w:sz w:val="20"/>
        </w:rPr>
      </w:pPr>
      <w:r>
        <w:rPr>
          <w:sz w:val="20"/>
        </w:rPr>
        <w:t>Pagar las cantidades fijadas en el párrafo 135 de la presente Sentencia, por concepto de</w:t>
      </w:r>
      <w:r>
        <w:rPr>
          <w:spacing w:val="-68"/>
          <w:sz w:val="20"/>
        </w:rPr>
        <w:t> </w:t>
      </w:r>
      <w:r>
        <w:rPr>
          <w:sz w:val="20"/>
        </w:rPr>
        <w:t>daño</w:t>
      </w:r>
      <w:r>
        <w:rPr>
          <w:spacing w:val="-5"/>
          <w:sz w:val="20"/>
        </w:rPr>
        <w:t> </w:t>
      </w:r>
      <w:r>
        <w:rPr>
          <w:sz w:val="20"/>
        </w:rPr>
        <w:t>inmaterial,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 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130</w:t>
      </w:r>
      <w:r>
        <w:rPr>
          <w:spacing w:val="1"/>
          <w:sz w:val="20"/>
        </w:rPr>
        <w:t> </w:t>
      </w:r>
      <w:r>
        <w:rPr>
          <w:sz w:val="20"/>
        </w:rPr>
        <w:t>a 135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153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misma.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114" w:hanging="360"/>
        <w:jc w:val="both"/>
        <w:rPr>
          <w:sz w:val="20"/>
        </w:rPr>
      </w:pPr>
      <w:r>
        <w:rPr>
          <w:spacing w:val="-1"/>
          <w:sz w:val="20"/>
        </w:rPr>
        <w:t>Pagar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cantidad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fijada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párrafo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152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presente</w:t>
      </w:r>
      <w:r>
        <w:rPr>
          <w:spacing w:val="-14"/>
          <w:sz w:val="20"/>
        </w:rPr>
        <w:t> </w:t>
      </w:r>
      <w:r>
        <w:rPr>
          <w:sz w:val="20"/>
        </w:rPr>
        <w:t>Sentencia,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concepto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costas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gastos, 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150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153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84"/>
      </w:pP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13"/>
        </w:rPr>
        <w:t> </w:t>
      </w:r>
      <w:r>
        <w:rPr/>
        <w:t>punto</w:t>
      </w:r>
      <w:r>
        <w:rPr>
          <w:spacing w:val="3"/>
        </w:rPr>
        <w:t> </w:t>
      </w:r>
      <w:r>
        <w:rPr/>
        <w:t>declarativo</w:t>
      </w:r>
      <w:r>
        <w:rPr>
          <w:spacing w:val="2"/>
        </w:rPr>
        <w:t> </w:t>
      </w:r>
      <w:r>
        <w:rPr/>
        <w:t>1</w:t>
      </w:r>
      <w:r>
        <w:rPr>
          <w:spacing w:val="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resolución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Corte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1</w:t>
      </w:r>
      <w:r>
        <w:rPr>
          <w:spacing w:val="9"/>
        </w:rPr>
        <w:t> </w:t>
      </w:r>
      <w:r>
        <w:rPr/>
        <w:t>de</w:t>
      </w:r>
      <w:r>
        <w:rPr>
          <w:spacing w:val="4"/>
        </w:rPr>
        <w:t> </w:t>
      </w:r>
      <w:r>
        <w:rPr/>
        <w:t>julio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2009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explica</w:t>
      </w:r>
      <w:r>
        <w:rPr>
          <w:spacing w:val="4"/>
        </w:rPr>
        <w:t> </w:t>
      </w:r>
      <w:r>
        <w:rPr/>
        <w:t>el</w:t>
      </w:r>
      <w:r>
        <w:rPr>
          <w:spacing w:val="-67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respecto a esta</w:t>
      </w:r>
      <w:r>
        <w:rPr>
          <w:spacing w:val="-3"/>
        </w:rPr>
        <w:t> </w:t>
      </w:r>
      <w:r>
        <w:rPr/>
        <w:t>medida de</w:t>
      </w:r>
      <w:r>
        <w:rPr>
          <w:spacing w:val="2"/>
        </w:rPr>
        <w:t> </w:t>
      </w:r>
      <w:r>
        <w:rPr/>
        <w:t>reparación: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44" w:val="left" w:leader="none"/>
        </w:tabs>
        <w:spacing w:line="240" w:lineRule="auto" w:before="0" w:after="0"/>
        <w:ind w:left="844" w:right="120" w:hanging="360"/>
        <w:jc w:val="left"/>
        <w:rPr>
          <w:sz w:val="18"/>
        </w:rPr>
      </w:pP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conformidad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5"/>
          <w:sz w:val="18"/>
        </w:rPr>
        <w:t> </w:t>
      </w:r>
      <w:r>
        <w:rPr>
          <w:sz w:val="18"/>
        </w:rPr>
        <w:t>lo</w:t>
      </w:r>
      <w:r>
        <w:rPr>
          <w:spacing w:val="-4"/>
          <w:sz w:val="18"/>
        </w:rPr>
        <w:t> </w:t>
      </w:r>
      <w:r>
        <w:rPr>
          <w:sz w:val="18"/>
        </w:rPr>
        <w:t>señalado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párrafos</w:t>
      </w:r>
      <w:r>
        <w:rPr>
          <w:spacing w:val="-4"/>
          <w:sz w:val="18"/>
        </w:rPr>
        <w:t> </w:t>
      </w:r>
      <w:r>
        <w:rPr>
          <w:sz w:val="18"/>
        </w:rPr>
        <w:t>considerativos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39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esta</w:t>
      </w:r>
      <w:r>
        <w:rPr>
          <w:spacing w:val="-3"/>
          <w:sz w:val="18"/>
        </w:rPr>
        <w:t> </w:t>
      </w:r>
      <w:r>
        <w:rPr>
          <w:sz w:val="18"/>
        </w:rPr>
        <w:t>Resolución,</w:t>
      </w:r>
      <w:r>
        <w:rPr>
          <w:spacing w:val="-60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Estado</w:t>
      </w:r>
      <w:r>
        <w:rPr>
          <w:spacing w:val="-2"/>
          <w:sz w:val="18"/>
        </w:rPr>
        <w:t> </w:t>
      </w:r>
      <w:r>
        <w:rPr>
          <w:sz w:val="18"/>
        </w:rPr>
        <w:t>ha</w:t>
      </w:r>
      <w:r>
        <w:rPr>
          <w:spacing w:val="-1"/>
          <w:sz w:val="18"/>
        </w:rPr>
        <w:t> </w:t>
      </w:r>
      <w:r>
        <w:rPr>
          <w:sz w:val="18"/>
        </w:rPr>
        <w:t>dado</w:t>
      </w:r>
      <w:r>
        <w:rPr>
          <w:spacing w:val="-1"/>
          <w:sz w:val="18"/>
        </w:rPr>
        <w:t> </w:t>
      </w:r>
      <w:r>
        <w:rPr>
          <w:sz w:val="18"/>
        </w:rPr>
        <w:t>cumplimiento</w:t>
      </w:r>
      <w:r>
        <w:rPr>
          <w:spacing w:val="-2"/>
          <w:sz w:val="18"/>
        </w:rPr>
        <w:t> </w:t>
      </w:r>
      <w:r>
        <w:rPr>
          <w:sz w:val="18"/>
        </w:rPr>
        <w:t>parcial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las</w:t>
      </w:r>
      <w:r>
        <w:rPr>
          <w:spacing w:val="2"/>
          <w:sz w:val="18"/>
        </w:rPr>
        <w:t> </w:t>
      </w:r>
      <w:r>
        <w:rPr>
          <w:sz w:val="18"/>
        </w:rPr>
        <w:t>siguientes</w:t>
      </w:r>
      <w:r>
        <w:rPr>
          <w:spacing w:val="-2"/>
          <w:sz w:val="18"/>
        </w:rPr>
        <w:t> </w:t>
      </w:r>
      <w:r>
        <w:rPr>
          <w:sz w:val="18"/>
        </w:rPr>
        <w:t>obligaciones:</w:t>
      </w:r>
    </w:p>
    <w:p>
      <w:pPr>
        <w:spacing w:line="217" w:lineRule="exact" w:before="3"/>
        <w:ind w:left="843" w:right="0" w:firstLine="0"/>
        <w:jc w:val="left"/>
        <w:rPr>
          <w:sz w:val="18"/>
        </w:rPr>
      </w:pPr>
      <w:r>
        <w:rPr>
          <w:sz w:val="18"/>
        </w:rPr>
        <w:t>[…]</w:t>
      </w:r>
    </w:p>
    <w:p>
      <w:pPr>
        <w:spacing w:before="0"/>
        <w:ind w:left="843" w:right="117" w:firstLine="0"/>
        <w:jc w:val="both"/>
        <w:rPr>
          <w:sz w:val="18"/>
        </w:rPr>
      </w:pPr>
      <w:r>
        <w:rPr>
          <w:sz w:val="18"/>
        </w:rPr>
        <w:t>b) pago de las indemnizaciones establecidas por daño material e inmaterial, así como al</w:t>
      </w:r>
      <w:r>
        <w:rPr>
          <w:spacing w:val="1"/>
          <w:sz w:val="18"/>
        </w:rPr>
        <w:t> </w:t>
      </w:r>
      <w:r>
        <w:rPr>
          <w:sz w:val="18"/>
        </w:rPr>
        <w:t>reembolso de costas y gastos (puntos resolutivos decimotercero, decimocuarto y decimoquinto</w:t>
      </w:r>
      <w:r>
        <w:rPr>
          <w:spacing w:val="-61"/>
          <w:sz w:val="18"/>
        </w:rPr>
        <w:t> </w:t>
      </w:r>
      <w:r>
        <w:rPr>
          <w:sz w:val="18"/>
        </w:rPr>
        <w:t>de la Sentencia).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line="240" w:lineRule="auto" w:before="100"/>
        <w:ind w:left="119" w:right="115" w:firstLine="0"/>
        <w:jc w:val="both"/>
        <w:rPr>
          <w:sz w:val="16"/>
        </w:rPr>
      </w:pPr>
      <w:r>
        <w:rPr>
          <w:sz w:val="16"/>
        </w:rPr>
        <w:t>La presente sistematización de información fue realizada por la Secretaría de la Corte Interamericana de Derechos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Humanos,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por</w:t>
      </w:r>
      <w:r>
        <w:rPr>
          <w:spacing w:val="-13"/>
          <w:sz w:val="16"/>
        </w:rPr>
        <w:t> </w:t>
      </w:r>
      <w:r>
        <w:rPr>
          <w:sz w:val="16"/>
        </w:rPr>
        <w:t>lo</w:t>
      </w:r>
      <w:r>
        <w:rPr>
          <w:spacing w:val="-18"/>
          <w:sz w:val="16"/>
        </w:rPr>
        <w:t> </w:t>
      </w:r>
      <w:r>
        <w:rPr>
          <w:sz w:val="16"/>
        </w:rPr>
        <w:t>que</w:t>
      </w:r>
      <w:r>
        <w:rPr>
          <w:spacing w:val="-16"/>
          <w:sz w:val="16"/>
        </w:rPr>
        <w:t> </w:t>
      </w:r>
      <w:r>
        <w:rPr>
          <w:sz w:val="16"/>
        </w:rPr>
        <w:t>es</w:t>
      </w:r>
      <w:r>
        <w:rPr>
          <w:spacing w:val="-16"/>
          <w:sz w:val="16"/>
        </w:rPr>
        <w:t> </w:t>
      </w:r>
      <w:r>
        <w:rPr>
          <w:sz w:val="16"/>
        </w:rPr>
        <w:t>responsabilidad</w:t>
      </w:r>
      <w:r>
        <w:rPr>
          <w:spacing w:val="-16"/>
          <w:sz w:val="16"/>
        </w:rPr>
        <w:t> </w:t>
      </w:r>
      <w:r>
        <w:rPr>
          <w:sz w:val="16"/>
        </w:rPr>
        <w:t>exclusiva</w:t>
      </w:r>
      <w:r>
        <w:rPr>
          <w:spacing w:val="-17"/>
          <w:sz w:val="16"/>
        </w:rPr>
        <w:t> </w:t>
      </w:r>
      <w:r>
        <w:rPr>
          <w:sz w:val="16"/>
        </w:rPr>
        <w:t>de</w:t>
      </w:r>
      <w:r>
        <w:rPr>
          <w:spacing w:val="-16"/>
          <w:sz w:val="16"/>
        </w:rPr>
        <w:t> </w:t>
      </w:r>
      <w:r>
        <w:rPr>
          <w:sz w:val="16"/>
        </w:rPr>
        <w:t>la</w:t>
      </w:r>
      <w:r>
        <w:rPr>
          <w:spacing w:val="-17"/>
          <w:sz w:val="16"/>
        </w:rPr>
        <w:t> </w:t>
      </w:r>
      <w:r>
        <w:rPr>
          <w:sz w:val="16"/>
        </w:rPr>
        <w:t>misma.</w:t>
      </w:r>
      <w:r>
        <w:rPr>
          <w:spacing w:val="-14"/>
          <w:sz w:val="16"/>
        </w:rPr>
        <w:t> </w:t>
      </w:r>
      <w:r>
        <w:rPr>
          <w:sz w:val="16"/>
        </w:rPr>
        <w:t>La</w:t>
      </w:r>
      <w:r>
        <w:rPr>
          <w:spacing w:val="-17"/>
          <w:sz w:val="16"/>
        </w:rPr>
        <w:t> </w:t>
      </w:r>
      <w:r>
        <w:rPr>
          <w:sz w:val="16"/>
        </w:rPr>
        <w:t>información</w:t>
      </w:r>
      <w:r>
        <w:rPr>
          <w:spacing w:val="-18"/>
          <w:sz w:val="16"/>
        </w:rPr>
        <w:t> </w:t>
      </w:r>
      <w:r>
        <w:rPr>
          <w:sz w:val="16"/>
        </w:rPr>
        <w:t>se</w:t>
      </w:r>
      <w:r>
        <w:rPr>
          <w:spacing w:val="-16"/>
          <w:sz w:val="16"/>
        </w:rPr>
        <w:t> </w:t>
      </w:r>
      <w:r>
        <w:rPr>
          <w:sz w:val="16"/>
        </w:rPr>
        <w:t>basa</w:t>
      </w:r>
      <w:r>
        <w:rPr>
          <w:spacing w:val="-17"/>
          <w:sz w:val="16"/>
        </w:rPr>
        <w:t> </w:t>
      </w:r>
      <w:r>
        <w:rPr>
          <w:sz w:val="16"/>
        </w:rPr>
        <w:t>en</w:t>
      </w:r>
      <w:r>
        <w:rPr>
          <w:spacing w:val="-18"/>
          <w:sz w:val="16"/>
        </w:rPr>
        <w:t> </w:t>
      </w:r>
      <w:r>
        <w:rPr>
          <w:sz w:val="16"/>
        </w:rPr>
        <w:t>lo</w:t>
      </w:r>
      <w:r>
        <w:rPr>
          <w:spacing w:val="-18"/>
          <w:sz w:val="16"/>
        </w:rPr>
        <w:t> </w:t>
      </w:r>
      <w:r>
        <w:rPr>
          <w:sz w:val="16"/>
        </w:rPr>
        <w:t>declarado</w:t>
      </w:r>
      <w:r>
        <w:rPr>
          <w:spacing w:val="-14"/>
          <w:sz w:val="16"/>
        </w:rPr>
        <w:t> </w:t>
      </w:r>
      <w:r>
        <w:rPr>
          <w:sz w:val="16"/>
        </w:rPr>
        <w:t>en</w:t>
      </w:r>
      <w:r>
        <w:rPr>
          <w:spacing w:val="-18"/>
          <w:sz w:val="16"/>
        </w:rPr>
        <w:t> </w:t>
      </w:r>
      <w:r>
        <w:rPr>
          <w:sz w:val="16"/>
        </w:rPr>
        <w:t>resoluciones</w:t>
      </w:r>
      <w:r>
        <w:rPr>
          <w:spacing w:val="1"/>
          <w:sz w:val="16"/>
        </w:rPr>
        <w:t> </w:t>
      </w:r>
      <w:r>
        <w:rPr>
          <w:sz w:val="16"/>
        </w:rPr>
        <w:t>emitidas por esta Corte. Por tanto, en los expedientes puede haber información aportada por las partes que aún no</w:t>
      </w:r>
      <w:r>
        <w:rPr>
          <w:spacing w:val="-54"/>
          <w:sz w:val="16"/>
        </w:rPr>
        <w:t> </w:t>
      </w:r>
      <w:r>
        <w:rPr>
          <w:sz w:val="16"/>
        </w:rPr>
        <w:t>haya</w:t>
      </w:r>
      <w:r>
        <w:rPr>
          <w:spacing w:val="-2"/>
          <w:sz w:val="16"/>
        </w:rPr>
        <w:t> </w:t>
      </w:r>
      <w:r>
        <w:rPr>
          <w:sz w:val="16"/>
        </w:rPr>
        <w:t>sido</w:t>
      </w:r>
      <w:r>
        <w:rPr>
          <w:spacing w:val="-2"/>
          <w:sz w:val="16"/>
        </w:rPr>
        <w:t> </w:t>
      </w:r>
      <w:r>
        <w:rPr>
          <w:sz w:val="16"/>
        </w:rPr>
        <w:t>evaluada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Tribunal.</w:t>
      </w:r>
    </w:p>
    <w:sectPr>
      <w:type w:val="continuous"/>
      <w:pgSz w:w="12240" w:h="15840"/>
      <w:pgMar w:top="6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4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844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81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Title" w:type="paragraph">
    <w:name w:val="Title"/>
    <w:basedOn w:val="Normal"/>
    <w:uiPriority w:val="1"/>
    <w:qFormat/>
    <w:pPr>
      <w:spacing w:before="233"/>
      <w:ind w:left="211"/>
    </w:pPr>
    <w:rPr>
      <w:rFonts w:ascii="Verdana" w:hAnsi="Verdana" w:eastAsia="Verdana" w:cs="Verdana"/>
      <w:b/>
      <w:bCs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483" w:right="114" w:hanging="360"/>
      <w:jc w:val="both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Tsaitami Ordonez</dc:creator>
  <dcterms:created xsi:type="dcterms:W3CDTF">2022-01-28T22:36:58Z</dcterms:created>
  <dcterms:modified xsi:type="dcterms:W3CDTF">2022-01-28T22:36:58Z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2022-01-28T00:00:00Z</vt:filetime>
  </property>
</Properties>
</file>