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65" w:rsidRPr="00D154F1" w:rsidRDefault="00EA33C1" w:rsidP="00A33BBA">
      <w:pPr>
        <w:jc w:val="center"/>
        <w:rPr>
          <w:rFonts w:ascii="Verdana" w:hAnsi="Verdana"/>
          <w:b/>
          <w:sz w:val="20"/>
          <w:szCs w:val="20"/>
          <w:u w:val="single"/>
          <w:lang w:val="es-ES"/>
        </w:rPr>
      </w:pPr>
      <w:r w:rsidRPr="00D154F1">
        <w:rPr>
          <w:rFonts w:ascii="Verdana" w:hAnsi="Verdana"/>
          <w:b/>
          <w:sz w:val="20"/>
          <w:szCs w:val="20"/>
          <w:u w:val="single"/>
          <w:lang w:val="es-ES"/>
        </w:rPr>
        <w:t>Caso Osorio Rivera y f</w:t>
      </w:r>
      <w:r w:rsidR="00A33BBA" w:rsidRPr="00D154F1">
        <w:rPr>
          <w:rFonts w:ascii="Verdana" w:hAnsi="Verdana"/>
          <w:b/>
          <w:sz w:val="20"/>
          <w:szCs w:val="20"/>
          <w:u w:val="single"/>
          <w:lang w:val="es-ES"/>
        </w:rPr>
        <w:t xml:space="preserve">amiliares </w:t>
      </w:r>
      <w:r w:rsidR="00A33BBA" w:rsidRPr="00D154F1">
        <w:rPr>
          <w:rFonts w:ascii="Verdana" w:hAnsi="Verdana"/>
          <w:b/>
          <w:i/>
          <w:sz w:val="20"/>
          <w:szCs w:val="20"/>
          <w:u w:val="single"/>
          <w:lang w:val="es-ES"/>
        </w:rPr>
        <w:t>Vs</w:t>
      </w:r>
      <w:r w:rsidR="00A33BBA" w:rsidRPr="00D154F1">
        <w:rPr>
          <w:rFonts w:ascii="Verdana" w:hAnsi="Verdana"/>
          <w:b/>
          <w:sz w:val="20"/>
          <w:szCs w:val="20"/>
          <w:u w:val="single"/>
          <w:lang w:val="es-ES"/>
        </w:rPr>
        <w:t xml:space="preserve">. Perú: reparaciones </w:t>
      </w:r>
      <w:r w:rsidR="00AB3CE6">
        <w:rPr>
          <w:rFonts w:ascii="Verdana" w:hAnsi="Verdana"/>
          <w:b/>
          <w:sz w:val="20"/>
          <w:szCs w:val="20"/>
          <w:u w:val="single"/>
          <w:lang w:val="es-ES"/>
        </w:rPr>
        <w:t>cumplidas</w:t>
      </w:r>
    </w:p>
    <w:p w:rsidR="009A6AAE" w:rsidRPr="009A6AAE" w:rsidRDefault="009A6AAE" w:rsidP="009A6AAE">
      <w:pPr>
        <w:pStyle w:val="Prrafodelista"/>
        <w:rPr>
          <w:rFonts w:ascii="Verdana" w:hAnsi="Verdana"/>
          <w:sz w:val="20"/>
          <w:szCs w:val="20"/>
          <w:lang w:val="es-ES"/>
        </w:rPr>
      </w:pPr>
    </w:p>
    <w:p w:rsidR="00A33BBA" w:rsidRPr="00C02DDF" w:rsidRDefault="00FD7EA6" w:rsidP="009A6AAE">
      <w:pPr>
        <w:pStyle w:val="Prrafodelista"/>
        <w:numPr>
          <w:ilvl w:val="0"/>
          <w:numId w:val="1"/>
        </w:numPr>
        <w:jc w:val="both"/>
        <w:rPr>
          <w:rFonts w:ascii="Verdana" w:hAnsi="Verdana"/>
          <w:sz w:val="20"/>
          <w:szCs w:val="20"/>
          <w:lang w:val="es-ES"/>
        </w:rPr>
      </w:pPr>
      <w:r w:rsidRPr="00C02DDF">
        <w:rPr>
          <w:rFonts w:ascii="Verdana" w:hAnsi="Verdana"/>
          <w:sz w:val="20"/>
          <w:szCs w:val="20"/>
          <w:lang w:val="es-ES"/>
        </w:rPr>
        <w:t>R</w:t>
      </w:r>
      <w:r w:rsidR="00A33BBA" w:rsidRPr="00C02DDF">
        <w:rPr>
          <w:rFonts w:ascii="Verdana" w:hAnsi="Verdana"/>
          <w:sz w:val="20"/>
          <w:szCs w:val="20"/>
          <w:lang w:val="es-ES"/>
        </w:rPr>
        <w:t>ealizar las publicaciones indicadas e</w:t>
      </w:r>
      <w:r w:rsidR="00AB3CE6">
        <w:rPr>
          <w:rFonts w:ascii="Verdana" w:hAnsi="Verdana"/>
          <w:sz w:val="20"/>
          <w:szCs w:val="20"/>
          <w:lang w:val="es-ES"/>
        </w:rPr>
        <w:t xml:space="preserve">n el párrafo 260 de la </w:t>
      </w:r>
      <w:r w:rsidR="00A33BBA" w:rsidRPr="00C02DDF">
        <w:rPr>
          <w:rFonts w:ascii="Verdana" w:hAnsi="Verdana"/>
          <w:sz w:val="20"/>
          <w:szCs w:val="20"/>
          <w:lang w:val="es-ES"/>
        </w:rPr>
        <w:t>Sentencia.</w:t>
      </w:r>
    </w:p>
    <w:p w:rsidR="009A6AAE" w:rsidRPr="00C02DDF" w:rsidRDefault="009A6AAE" w:rsidP="009A6AAE">
      <w:pPr>
        <w:pStyle w:val="Prrafodelista"/>
        <w:rPr>
          <w:rFonts w:ascii="Verdana" w:hAnsi="Verdana"/>
          <w:sz w:val="20"/>
          <w:szCs w:val="20"/>
          <w:lang w:val="es-ES"/>
        </w:rPr>
      </w:pPr>
    </w:p>
    <w:p w:rsidR="00A33BBA" w:rsidRPr="00C02DDF" w:rsidRDefault="00A33BBA" w:rsidP="009A6AAE">
      <w:pPr>
        <w:pStyle w:val="Prrafodelista"/>
        <w:numPr>
          <w:ilvl w:val="0"/>
          <w:numId w:val="1"/>
        </w:numPr>
        <w:jc w:val="both"/>
        <w:rPr>
          <w:rFonts w:ascii="Verdana" w:hAnsi="Verdana"/>
          <w:sz w:val="20"/>
          <w:szCs w:val="20"/>
          <w:lang w:val="es-ES"/>
        </w:rPr>
      </w:pPr>
      <w:r w:rsidRPr="00C02DDF">
        <w:rPr>
          <w:rFonts w:ascii="Verdana" w:hAnsi="Verdana"/>
          <w:sz w:val="20"/>
          <w:szCs w:val="20"/>
          <w:lang w:val="es-ES"/>
        </w:rPr>
        <w:t xml:space="preserve">Realizar un acto público de reconocimiento de responsabilidad internacional por los hechos del presente caso, de conformidad con lo establecido </w:t>
      </w:r>
      <w:r w:rsidR="00AB3CE6">
        <w:rPr>
          <w:rFonts w:ascii="Verdana" w:hAnsi="Verdana"/>
          <w:sz w:val="20"/>
          <w:szCs w:val="20"/>
          <w:lang w:val="es-ES"/>
        </w:rPr>
        <w:t>en el párrafo 264 de la</w:t>
      </w:r>
      <w:r w:rsidRPr="00C02DDF">
        <w:rPr>
          <w:rFonts w:ascii="Verdana" w:hAnsi="Verdana"/>
          <w:sz w:val="20"/>
          <w:szCs w:val="20"/>
          <w:lang w:val="es-ES"/>
        </w:rPr>
        <w:t xml:space="preserve"> Sentencia.</w:t>
      </w:r>
    </w:p>
    <w:p w:rsidR="009A6AAE" w:rsidRPr="00C02DDF" w:rsidRDefault="009A6AAE" w:rsidP="009A6AAE">
      <w:pPr>
        <w:pStyle w:val="Prrafodelista"/>
        <w:rPr>
          <w:rFonts w:ascii="Verdana" w:hAnsi="Verdana"/>
          <w:sz w:val="20"/>
          <w:szCs w:val="20"/>
          <w:lang w:val="es-ES"/>
        </w:rPr>
      </w:pPr>
    </w:p>
    <w:p w:rsidR="00A33BBA" w:rsidRPr="00C02DDF" w:rsidRDefault="00A33BBA" w:rsidP="009A6AAE">
      <w:pPr>
        <w:pStyle w:val="Prrafodelista"/>
        <w:numPr>
          <w:ilvl w:val="0"/>
          <w:numId w:val="1"/>
        </w:numPr>
        <w:jc w:val="both"/>
        <w:rPr>
          <w:rFonts w:ascii="Verdana" w:hAnsi="Verdana"/>
          <w:sz w:val="20"/>
          <w:szCs w:val="20"/>
          <w:lang w:val="es-ES"/>
        </w:rPr>
      </w:pPr>
      <w:r w:rsidRPr="00C02DDF">
        <w:rPr>
          <w:rFonts w:ascii="Verdana" w:hAnsi="Verdana"/>
          <w:sz w:val="20"/>
          <w:szCs w:val="20"/>
          <w:lang w:val="es-ES"/>
        </w:rPr>
        <w:t>Adoptar las medidas necesarias para reformar, dentro de un plazo razonable, su legislación penal a efectos de compatibilizarla con la tipificación de acuerdo a los parámetros internacionales en materia de desaparición forzada de personas, de conformidad con lo establecido en el párrafo 271 de</w:t>
      </w:r>
      <w:r w:rsidR="00AB3CE6">
        <w:rPr>
          <w:rFonts w:ascii="Verdana" w:hAnsi="Verdana"/>
          <w:sz w:val="20"/>
          <w:szCs w:val="20"/>
          <w:lang w:val="es-ES"/>
        </w:rPr>
        <w:t xml:space="preserve"> la </w:t>
      </w:r>
      <w:r w:rsidRPr="00C02DDF">
        <w:rPr>
          <w:rFonts w:ascii="Verdana" w:hAnsi="Verdana"/>
          <w:sz w:val="20"/>
          <w:szCs w:val="20"/>
          <w:lang w:val="es-ES"/>
        </w:rPr>
        <w:t>Sentencia.</w:t>
      </w:r>
    </w:p>
    <w:p w:rsidR="009A6AAE" w:rsidRPr="00C02DDF" w:rsidRDefault="009A6AAE" w:rsidP="009A6AAE">
      <w:pPr>
        <w:pStyle w:val="Prrafodelista"/>
        <w:rPr>
          <w:rFonts w:ascii="Verdana" w:hAnsi="Verdana"/>
          <w:sz w:val="20"/>
          <w:szCs w:val="20"/>
          <w:lang w:val="es-ES"/>
        </w:rPr>
      </w:pPr>
    </w:p>
    <w:p w:rsidR="00A33BBA" w:rsidRPr="00C02DDF" w:rsidRDefault="00C02DDF" w:rsidP="009A6AAE">
      <w:pPr>
        <w:pStyle w:val="Prrafodelista"/>
        <w:numPr>
          <w:ilvl w:val="0"/>
          <w:numId w:val="1"/>
        </w:numPr>
        <w:jc w:val="both"/>
        <w:rPr>
          <w:rFonts w:ascii="Verdana" w:hAnsi="Verdana"/>
          <w:sz w:val="20"/>
          <w:szCs w:val="20"/>
          <w:lang w:val="es-ES"/>
        </w:rPr>
      </w:pPr>
      <w:r w:rsidRPr="00C02DDF">
        <w:rPr>
          <w:rFonts w:ascii="Verdana" w:hAnsi="Verdana"/>
          <w:sz w:val="20"/>
          <w:szCs w:val="20"/>
          <w:lang w:val="es-ES"/>
        </w:rPr>
        <w:t>R</w:t>
      </w:r>
      <w:r w:rsidR="00A33BBA" w:rsidRPr="00C02DDF">
        <w:rPr>
          <w:rFonts w:ascii="Verdana" w:hAnsi="Verdana"/>
          <w:sz w:val="20"/>
          <w:szCs w:val="20"/>
          <w:lang w:val="es-ES"/>
        </w:rPr>
        <w:t xml:space="preserve">eintegrar al Fondo de Asistencia Legal de Víctimas la cantidad establecida </w:t>
      </w:r>
      <w:r w:rsidR="00AB3CE6">
        <w:rPr>
          <w:rFonts w:ascii="Verdana" w:hAnsi="Verdana"/>
          <w:sz w:val="20"/>
          <w:szCs w:val="20"/>
          <w:lang w:val="es-ES"/>
        </w:rPr>
        <w:t>en el párrafo 299 de la</w:t>
      </w:r>
      <w:r w:rsidR="00A33BBA" w:rsidRPr="00C02DDF">
        <w:rPr>
          <w:rFonts w:ascii="Verdana" w:hAnsi="Verdana"/>
          <w:sz w:val="20"/>
          <w:szCs w:val="20"/>
          <w:lang w:val="es-ES"/>
        </w:rPr>
        <w:t xml:space="preserve"> Sentencia.</w:t>
      </w:r>
    </w:p>
    <w:p w:rsidR="00C02DDF" w:rsidRDefault="00C02DDF" w:rsidP="00C02DDF">
      <w:pPr>
        <w:rPr>
          <w:rFonts w:ascii="Verdana" w:hAnsi="Verdana"/>
          <w:b/>
          <w:sz w:val="20"/>
          <w:szCs w:val="20"/>
          <w:lang w:val="es-ES"/>
        </w:rPr>
      </w:pPr>
      <w:r w:rsidRPr="00C02DDF">
        <w:rPr>
          <w:rFonts w:ascii="Verdana" w:hAnsi="Verdana"/>
          <w:b/>
          <w:sz w:val="20"/>
          <w:szCs w:val="20"/>
          <w:lang w:val="es-ES"/>
        </w:rPr>
        <w:t>Cumplimien</w:t>
      </w:r>
      <w:bookmarkStart w:id="0" w:name="_GoBack"/>
      <w:bookmarkEnd w:id="0"/>
      <w:r w:rsidRPr="00C02DDF">
        <w:rPr>
          <w:rFonts w:ascii="Verdana" w:hAnsi="Verdana"/>
          <w:b/>
          <w:sz w:val="20"/>
          <w:szCs w:val="20"/>
          <w:lang w:val="es-ES"/>
        </w:rPr>
        <w:t>to parcial</w:t>
      </w:r>
    </w:p>
    <w:p w:rsidR="00C02DDF" w:rsidRDefault="00C02DDF" w:rsidP="00C02DDF">
      <w:pPr>
        <w:pStyle w:val="Prrafodelista"/>
        <w:numPr>
          <w:ilvl w:val="0"/>
          <w:numId w:val="1"/>
        </w:numPr>
        <w:jc w:val="both"/>
        <w:rPr>
          <w:rFonts w:ascii="Verdana" w:hAnsi="Verdana"/>
          <w:sz w:val="20"/>
          <w:szCs w:val="20"/>
          <w:lang w:val="es-ES"/>
        </w:rPr>
      </w:pPr>
      <w:r w:rsidRPr="009A6AAE">
        <w:rPr>
          <w:rFonts w:ascii="Verdana" w:hAnsi="Verdana"/>
          <w:sz w:val="20"/>
          <w:szCs w:val="20"/>
          <w:lang w:val="es-ES"/>
        </w:rPr>
        <w:t>Pagar las cantidades fijadas en los párrafos 280, 283, 288, 289, 290 y 296 de la presente Sentencia, por concepto de indemnizaciones por daños materiales e inmateriales, y por el reintegro de costas y gastos, en los términos de los referidos párrafos y de los párrafos 300 a 305</w:t>
      </w:r>
      <w:r>
        <w:rPr>
          <w:rFonts w:ascii="Verdana" w:hAnsi="Verdana"/>
          <w:sz w:val="20"/>
          <w:szCs w:val="20"/>
          <w:lang w:val="es-ES"/>
        </w:rPr>
        <w:t>.</w:t>
      </w:r>
    </w:p>
    <w:p w:rsidR="00C02DDF" w:rsidRPr="00C02DDF" w:rsidRDefault="00C02DDF" w:rsidP="00C02DDF">
      <w:pPr>
        <w:jc w:val="both"/>
        <w:rPr>
          <w:rFonts w:ascii="Verdana" w:hAnsi="Verdana"/>
          <w:sz w:val="18"/>
          <w:szCs w:val="20"/>
          <w:lang w:val="es-ES"/>
        </w:rPr>
      </w:pPr>
      <w:r w:rsidRPr="00C02DDF">
        <w:rPr>
          <w:rFonts w:ascii="Verdana" w:hAnsi="Verdana"/>
          <w:sz w:val="18"/>
          <w:szCs w:val="20"/>
          <w:lang w:val="es-ES"/>
        </w:rPr>
        <w:t>Al respecto, el Considerando 27 de la Resolución de 9 de marzo de 2020 señala:</w:t>
      </w:r>
    </w:p>
    <w:p w:rsidR="00C02DDF" w:rsidRPr="00C02DDF" w:rsidRDefault="00C02DDF" w:rsidP="00C02DDF">
      <w:pPr>
        <w:jc w:val="both"/>
        <w:rPr>
          <w:rFonts w:ascii="Verdana" w:hAnsi="Verdana"/>
          <w:sz w:val="18"/>
          <w:szCs w:val="20"/>
          <w:lang w:val="es-ES"/>
        </w:rPr>
      </w:pPr>
      <w:r w:rsidRPr="00C02DDF">
        <w:rPr>
          <w:rFonts w:ascii="Verdana" w:hAnsi="Verdana"/>
          <w:sz w:val="18"/>
          <w:szCs w:val="20"/>
          <w:lang w:val="es-ES"/>
        </w:rPr>
        <w:t>47. En razón de lo anterior, la Corte declara que el Estado ha dado cumplimiento a las medidas de reparación relativas a realizar los pagos de las indemnizaciones establecidas en la Sentencia por concepto de daños materiales y daños inmateriales a favor de 10 beneficiarios, quedando pendiente el pago parcial y total de las referidas indemnizaciones a favor de dos beneficiarios, el reintegro de costas y gastos, así como el pago de los correspondientes intereses moratorios, según fue ordenado en el punto dispositivo décimo tercero de la Sentencia.</w:t>
      </w:r>
    </w:p>
    <w:p w:rsidR="00C02DDF" w:rsidRPr="00C02DDF" w:rsidRDefault="00C02DDF" w:rsidP="00C02DDF">
      <w:pPr>
        <w:rPr>
          <w:rFonts w:ascii="Verdana" w:hAnsi="Verdana"/>
          <w:b/>
          <w:sz w:val="20"/>
          <w:szCs w:val="20"/>
          <w:lang w:val="es-ES"/>
        </w:rPr>
      </w:pPr>
    </w:p>
    <w:sectPr w:rsidR="00C02DDF" w:rsidRPr="00C02D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81" w:rsidRDefault="009C5B81" w:rsidP="00A33BBA">
      <w:pPr>
        <w:spacing w:after="0" w:line="240" w:lineRule="auto"/>
      </w:pPr>
      <w:r>
        <w:separator/>
      </w:r>
    </w:p>
  </w:endnote>
  <w:endnote w:type="continuationSeparator" w:id="0">
    <w:p w:rsidR="009C5B81" w:rsidRDefault="009C5B81" w:rsidP="00A3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BBA" w:rsidRPr="005F4150" w:rsidRDefault="00A33BBA" w:rsidP="00A33BBA">
    <w:pPr>
      <w:spacing w:after="0" w:line="240" w:lineRule="auto"/>
      <w:jc w:val="both"/>
      <w:rPr>
        <w:rFonts w:ascii="Verdana" w:eastAsia="Times" w:hAnsi="Verdana" w:cs="Times New Roman"/>
        <w:bCs/>
        <w:sz w:val="16"/>
        <w:szCs w:val="16"/>
        <w:lang w:val="es-MX"/>
      </w:rPr>
    </w:pPr>
    <w:r w:rsidRPr="005F4150">
      <w:rPr>
        <w:rFonts w:ascii="Verdana" w:eastAsia="Times" w:hAnsi="Verdana" w:cs="Times New Roman"/>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81" w:rsidRDefault="009C5B81" w:rsidP="00A33BBA">
      <w:pPr>
        <w:spacing w:after="0" w:line="240" w:lineRule="auto"/>
      </w:pPr>
      <w:r>
        <w:separator/>
      </w:r>
    </w:p>
  </w:footnote>
  <w:footnote w:type="continuationSeparator" w:id="0">
    <w:p w:rsidR="009C5B81" w:rsidRDefault="009C5B81" w:rsidP="00A33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855129"/>
      <w:docPartObj>
        <w:docPartGallery w:val="Page Numbers (Top of Page)"/>
        <w:docPartUnique/>
      </w:docPartObj>
    </w:sdtPr>
    <w:sdtEndPr>
      <w:rPr>
        <w:noProof/>
      </w:rPr>
    </w:sdtEndPr>
    <w:sdtContent>
      <w:p w:rsidR="00A33BBA" w:rsidRDefault="00A33BBA">
        <w:pPr>
          <w:pStyle w:val="Encabezado"/>
          <w:jc w:val="right"/>
        </w:pPr>
        <w:r>
          <w:fldChar w:fldCharType="begin"/>
        </w:r>
        <w:r>
          <w:instrText xml:space="preserve"> PAGE   \* MERGEFORMAT </w:instrText>
        </w:r>
        <w:r>
          <w:fldChar w:fldCharType="separate"/>
        </w:r>
        <w:r w:rsidR="00AB3CE6">
          <w:rPr>
            <w:noProof/>
          </w:rPr>
          <w:t>1</w:t>
        </w:r>
        <w:r>
          <w:rPr>
            <w:noProof/>
          </w:rPr>
          <w:fldChar w:fldCharType="end"/>
        </w:r>
      </w:p>
    </w:sdtContent>
  </w:sdt>
  <w:p w:rsidR="00A33BBA" w:rsidRDefault="00A33B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94FFD"/>
    <w:multiLevelType w:val="hybridMultilevel"/>
    <w:tmpl w:val="0CCEB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BA"/>
    <w:rsid w:val="00014E17"/>
    <w:rsid w:val="0029263A"/>
    <w:rsid w:val="00502AB8"/>
    <w:rsid w:val="007D4455"/>
    <w:rsid w:val="009A6AAE"/>
    <w:rsid w:val="009C5B81"/>
    <w:rsid w:val="00A33BBA"/>
    <w:rsid w:val="00AB3CE6"/>
    <w:rsid w:val="00AE678B"/>
    <w:rsid w:val="00C02DDF"/>
    <w:rsid w:val="00D154F1"/>
    <w:rsid w:val="00D17237"/>
    <w:rsid w:val="00EA33C1"/>
    <w:rsid w:val="00FD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C317"/>
  <w15:docId w15:val="{5182EEA9-27B5-4723-91C8-FF11E7ED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BB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33BBA"/>
  </w:style>
  <w:style w:type="paragraph" w:styleId="Piedepgina">
    <w:name w:val="footer"/>
    <w:basedOn w:val="Normal"/>
    <w:link w:val="PiedepginaCar"/>
    <w:uiPriority w:val="99"/>
    <w:unhideWhenUsed/>
    <w:rsid w:val="00A33BB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33BBA"/>
  </w:style>
  <w:style w:type="paragraph" w:styleId="Prrafodelista">
    <w:name w:val="List Paragraph"/>
    <w:basedOn w:val="Normal"/>
    <w:uiPriority w:val="34"/>
    <w:qFormat/>
    <w:rsid w:val="009A6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257</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Sanchez</dc:creator>
  <cp:lastModifiedBy>Milagro Valverde</cp:lastModifiedBy>
  <cp:revision>8</cp:revision>
  <dcterms:created xsi:type="dcterms:W3CDTF">2016-11-08T23:19:00Z</dcterms:created>
  <dcterms:modified xsi:type="dcterms:W3CDTF">2021-03-31T23:59:00Z</dcterms:modified>
</cp:coreProperties>
</file>