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DCC34" w14:textId="77777777" w:rsidR="006E7F48" w:rsidRPr="00C821B1" w:rsidRDefault="0045380A" w:rsidP="008727FE">
      <w:pPr>
        <w:ind w:left="20" w:right="4"/>
        <w:jc w:val="center"/>
      </w:pPr>
      <w:r w:rsidRPr="004E3668">
        <w:rPr>
          <w:rFonts w:ascii="Verdana" w:hAnsi="Verdana"/>
          <w:b/>
          <w:sz w:val="20"/>
          <w:u w:val="single"/>
        </w:rPr>
        <w:t xml:space="preserve">Caso </w:t>
      </w:r>
      <w:r w:rsidR="00213AB8">
        <w:rPr>
          <w:rFonts w:ascii="Verdana" w:hAnsi="Verdana"/>
          <w:b/>
          <w:sz w:val="20"/>
          <w:u w:val="single"/>
        </w:rPr>
        <w:t>Pollo Rivera y otros</w:t>
      </w:r>
      <w:r w:rsidRPr="004E3668">
        <w:rPr>
          <w:rFonts w:ascii="Verdana" w:hAnsi="Verdana"/>
          <w:b/>
          <w:sz w:val="20"/>
          <w:u w:val="single"/>
        </w:rPr>
        <w:t xml:space="preserve"> </w:t>
      </w:r>
      <w:r w:rsidRPr="004E3668">
        <w:rPr>
          <w:rFonts w:ascii="Verdana" w:hAnsi="Verdana"/>
          <w:b/>
          <w:i/>
          <w:sz w:val="20"/>
          <w:u w:val="single"/>
        </w:rPr>
        <w:t>Vs.</w:t>
      </w:r>
      <w:r w:rsidRPr="004E3668">
        <w:rPr>
          <w:rFonts w:ascii="Verdana" w:hAnsi="Verdana"/>
          <w:b/>
          <w:sz w:val="20"/>
          <w:u w:val="single"/>
        </w:rPr>
        <w:t xml:space="preserve"> </w:t>
      </w:r>
      <w:r w:rsidR="00213AB8">
        <w:rPr>
          <w:rFonts w:ascii="Verdana" w:hAnsi="Verdana"/>
          <w:b/>
          <w:sz w:val="20"/>
          <w:u w:val="single"/>
        </w:rPr>
        <w:t>Perú</w:t>
      </w:r>
      <w:r w:rsidRPr="004E3668">
        <w:rPr>
          <w:rFonts w:ascii="Verdana" w:hAnsi="Verdana"/>
          <w:b/>
          <w:sz w:val="20"/>
          <w:u w:val="single"/>
        </w:rPr>
        <w:t xml:space="preserve">: </w:t>
      </w:r>
      <w:r w:rsidR="00284850">
        <w:rPr>
          <w:rFonts w:ascii="Verdana" w:hAnsi="Verdana"/>
          <w:b/>
          <w:sz w:val="20"/>
          <w:u w:val="single"/>
        </w:rPr>
        <w:t xml:space="preserve">reparaciones </w:t>
      </w:r>
      <w:r w:rsidR="008727FE">
        <w:rPr>
          <w:rFonts w:ascii="Verdana" w:hAnsi="Verdana"/>
          <w:b/>
          <w:sz w:val="20"/>
          <w:u w:val="single"/>
        </w:rPr>
        <w:t xml:space="preserve">pendientes de </w:t>
      </w:r>
      <w:r w:rsidR="008727FE" w:rsidRPr="00C821B1">
        <w:rPr>
          <w:rFonts w:ascii="Verdana" w:hAnsi="Verdana"/>
          <w:b/>
          <w:sz w:val="20"/>
          <w:u w:val="single"/>
        </w:rPr>
        <w:t>cumplimiento</w:t>
      </w:r>
    </w:p>
    <w:p w14:paraId="7BEFE810" w14:textId="77777777" w:rsidR="0045380A" w:rsidRPr="00213AB8" w:rsidRDefault="0045380A"/>
    <w:p w14:paraId="3DA6B3B6" w14:textId="77777777" w:rsidR="00C821B1" w:rsidRPr="00213AB8" w:rsidRDefault="00C821B1" w:rsidP="00C821B1">
      <w:pPr>
        <w:tabs>
          <w:tab w:val="left" w:pos="0"/>
          <w:tab w:val="left" w:pos="567"/>
        </w:tabs>
        <w:spacing w:line="276" w:lineRule="auto"/>
        <w:ind w:right="-144"/>
        <w:jc w:val="both"/>
        <w:rPr>
          <w:rFonts w:ascii="Verdana" w:hAnsi="Verdana" w:cstheme="minorBidi"/>
          <w:sz w:val="20"/>
          <w:szCs w:val="20"/>
        </w:rPr>
      </w:pPr>
    </w:p>
    <w:p w14:paraId="3F49175F" w14:textId="77777777" w:rsidR="00213AB8" w:rsidRPr="00213AB8" w:rsidRDefault="00213AB8" w:rsidP="00213AB8">
      <w:pPr>
        <w:pStyle w:val="Prrafodelista"/>
        <w:numPr>
          <w:ilvl w:val="0"/>
          <w:numId w:val="3"/>
        </w:numPr>
        <w:jc w:val="both"/>
        <w:rPr>
          <w:rFonts w:ascii="Verdana" w:eastAsia="MS Mincho" w:hAnsi="Verdana"/>
          <w:sz w:val="22"/>
          <w:szCs w:val="22"/>
        </w:rPr>
      </w:pPr>
      <w:r w:rsidRPr="00213AB8">
        <w:rPr>
          <w:rStyle w:val="apple-style-span"/>
          <w:rFonts w:ascii="Verdana" w:eastAsia="MS Mincho" w:hAnsi="Verdana"/>
          <w:sz w:val="20"/>
          <w:szCs w:val="20"/>
          <w:lang w:val="es-MX"/>
        </w:rPr>
        <w:t>El Estado</w:t>
      </w:r>
      <w:r w:rsidRPr="00213AB8">
        <w:rPr>
          <w:rFonts w:ascii="Verdana" w:eastAsia="Calibri" w:hAnsi="Verdana"/>
          <w:sz w:val="20"/>
          <w:szCs w:val="20"/>
          <w:lang w:val="es-MX"/>
        </w:rPr>
        <w:t xml:space="preserve"> </w:t>
      </w:r>
      <w:r w:rsidRPr="00213AB8">
        <w:rPr>
          <w:rStyle w:val="apple-style-span"/>
          <w:rFonts w:ascii="Verdana" w:eastAsia="MS Mincho" w:hAnsi="Verdana"/>
          <w:sz w:val="20"/>
          <w:szCs w:val="20"/>
          <w:lang w:val="es-MX"/>
        </w:rPr>
        <w:t xml:space="preserve">debe </w:t>
      </w:r>
      <w:r w:rsidRPr="00213AB8">
        <w:rPr>
          <w:rFonts w:ascii="Verdana" w:eastAsia="Calibri" w:hAnsi="Verdana"/>
          <w:sz w:val="20"/>
          <w:szCs w:val="20"/>
          <w:lang w:val="es-MX"/>
        </w:rPr>
        <w:t xml:space="preserve">continuar y concluir, con la debida diligencia y en un plazo razonable, la investigación actualmente en curso por los hechos de tortura y otros tratos crueles, inhumanos o degradantes sufridos por el señor Pollo Rivera y, de ser procedente, procesar y, en su caso, sancionar a los responsables, </w:t>
      </w:r>
      <w:r w:rsidRPr="00213AB8">
        <w:rPr>
          <w:rFonts w:ascii="Verdana" w:hAnsi="Verdana"/>
          <w:spacing w:val="-2"/>
          <w:sz w:val="20"/>
          <w:szCs w:val="20"/>
          <w:lang w:val="es-MX"/>
        </w:rPr>
        <w:t>en los términos del párrafo 277 de esta Sentencia.</w:t>
      </w:r>
      <w:r w:rsidRPr="00213AB8">
        <w:rPr>
          <w:rFonts w:ascii="Verdana" w:eastAsia="Calibri" w:hAnsi="Verdana"/>
          <w:sz w:val="20"/>
          <w:szCs w:val="20"/>
          <w:lang w:val="es-MX"/>
        </w:rPr>
        <w:t xml:space="preserve"> </w:t>
      </w:r>
    </w:p>
    <w:p w14:paraId="72127193" w14:textId="77777777" w:rsidR="00213AB8" w:rsidRPr="00213AB8" w:rsidRDefault="00213AB8" w:rsidP="00213AB8">
      <w:pPr>
        <w:pStyle w:val="Prrafodelista"/>
        <w:jc w:val="both"/>
        <w:rPr>
          <w:rStyle w:val="apple-style-span"/>
          <w:rFonts w:ascii="Verdana" w:eastAsia="MS Mincho" w:hAnsi="Verdana"/>
          <w:sz w:val="22"/>
          <w:szCs w:val="22"/>
        </w:rPr>
      </w:pPr>
    </w:p>
    <w:p w14:paraId="282D92D7" w14:textId="77777777" w:rsidR="00213AB8" w:rsidRPr="00213AB8" w:rsidRDefault="00213AB8" w:rsidP="00213AB8">
      <w:pPr>
        <w:pStyle w:val="Prrafodelista"/>
        <w:numPr>
          <w:ilvl w:val="0"/>
          <w:numId w:val="3"/>
        </w:numPr>
        <w:jc w:val="both"/>
        <w:rPr>
          <w:rFonts w:ascii="Verdana" w:eastAsia="MS Mincho" w:hAnsi="Verdana"/>
          <w:sz w:val="22"/>
          <w:szCs w:val="22"/>
        </w:rPr>
      </w:pPr>
      <w:bookmarkStart w:id="0" w:name="_GoBack"/>
      <w:bookmarkEnd w:id="0"/>
      <w:r w:rsidRPr="00213AB8">
        <w:rPr>
          <w:rFonts w:ascii="Verdana" w:hAnsi="Verdana" w:cs="Verdana"/>
          <w:sz w:val="20"/>
          <w:szCs w:val="20"/>
          <w:lang w:val="es-MX"/>
        </w:rPr>
        <w:t xml:space="preserve">El Estado </w:t>
      </w:r>
      <w:r w:rsidRPr="00213AB8">
        <w:rPr>
          <w:rFonts w:ascii="Verdana" w:hAnsi="Verdana"/>
          <w:sz w:val="20"/>
          <w:szCs w:val="20"/>
          <w:lang w:val="es-MX"/>
        </w:rPr>
        <w:t>debe</w:t>
      </w:r>
      <w:r w:rsidRPr="00213AB8">
        <w:rPr>
          <w:rFonts w:ascii="Verdana" w:hAnsi="Verdana" w:cs="Verdana"/>
          <w:sz w:val="20"/>
          <w:szCs w:val="20"/>
          <w:lang w:val="es-MX"/>
        </w:rPr>
        <w:t xml:space="preserve"> pagar las cantidades fijadas en </w:t>
      </w:r>
      <w:r w:rsidR="00B43FAE">
        <w:rPr>
          <w:rFonts w:ascii="Verdana" w:hAnsi="Verdana" w:cs="Verdana"/>
          <w:sz w:val="20"/>
          <w:szCs w:val="20"/>
          <w:lang w:val="es-MX"/>
        </w:rPr>
        <w:t>los párrafos 295, 299, 302</w:t>
      </w:r>
      <w:r w:rsidRPr="00213AB8">
        <w:rPr>
          <w:rFonts w:ascii="Verdana" w:hAnsi="Verdana" w:cs="Verdana"/>
          <w:sz w:val="20"/>
          <w:szCs w:val="20"/>
          <w:lang w:val="es-MX"/>
        </w:rPr>
        <w:t xml:space="preserve"> de la presente Sentencia por concepto de indemnizaciones </w:t>
      </w:r>
      <w:r w:rsidRPr="00213AB8">
        <w:rPr>
          <w:rFonts w:ascii="Verdana" w:hAnsi="Verdana"/>
          <w:sz w:val="20"/>
          <w:szCs w:val="20"/>
          <w:lang w:val="es-MX"/>
        </w:rPr>
        <w:t>por daños materiales e inmateriales</w:t>
      </w:r>
      <w:r w:rsidRPr="00213AB8">
        <w:rPr>
          <w:rFonts w:ascii="Verdana" w:hAnsi="Verdana" w:cs="Verdana"/>
          <w:sz w:val="20"/>
          <w:szCs w:val="20"/>
          <w:lang w:val="es-MX"/>
        </w:rPr>
        <w:t xml:space="preserve"> y por el reintegro de costas y gastos</w:t>
      </w:r>
      <w:r w:rsidRPr="00213AB8">
        <w:rPr>
          <w:rFonts w:ascii="Verdana" w:hAnsi="Verdana"/>
          <w:sz w:val="20"/>
          <w:szCs w:val="20"/>
          <w:lang w:val="es-MX"/>
        </w:rPr>
        <w:t>,</w:t>
      </w:r>
      <w:r w:rsidRPr="00213AB8">
        <w:rPr>
          <w:rFonts w:ascii="Verdana" w:hAnsi="Verdana" w:cs="Verdana"/>
          <w:sz w:val="20"/>
          <w:szCs w:val="20"/>
          <w:lang w:val="es-MX"/>
        </w:rPr>
        <w:t xml:space="preserve"> en los términos de los referidos párrafos  y de los párrafos 306 a 311 del presente Fallo.  </w:t>
      </w:r>
    </w:p>
    <w:p w14:paraId="7766FF2B" w14:textId="77777777" w:rsidR="00C821B1" w:rsidRDefault="00C821B1" w:rsidP="00213AB8">
      <w:pPr>
        <w:tabs>
          <w:tab w:val="left" w:pos="0"/>
          <w:tab w:val="left" w:pos="567"/>
        </w:tabs>
        <w:spacing w:line="276" w:lineRule="auto"/>
        <w:ind w:right="-144"/>
        <w:jc w:val="both"/>
        <w:rPr>
          <w:rFonts w:ascii="Verdana" w:hAnsi="Verdana" w:cs="Verdana"/>
          <w:sz w:val="20"/>
          <w:szCs w:val="20"/>
        </w:rPr>
      </w:pPr>
    </w:p>
    <w:sectPr w:rsidR="00C821B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419F1" w14:textId="77777777" w:rsidR="003F3B6F" w:rsidRDefault="003F3B6F" w:rsidP="0045380A">
      <w:r>
        <w:separator/>
      </w:r>
    </w:p>
  </w:endnote>
  <w:endnote w:type="continuationSeparator" w:id="0">
    <w:p w14:paraId="4D9A42E3" w14:textId="77777777" w:rsidR="003F3B6F" w:rsidRDefault="003F3B6F"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568F" w14:textId="77777777" w:rsidR="0045380A" w:rsidRPr="00F35356" w:rsidRDefault="0045380A" w:rsidP="0045380A">
    <w:pPr>
      <w:pStyle w:val="Piedepgina"/>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BAF61D2" w14:textId="77777777" w:rsidR="0045380A" w:rsidRPr="0045380A" w:rsidRDefault="0045380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2D71E" w14:textId="77777777" w:rsidR="003F3B6F" w:rsidRDefault="003F3B6F" w:rsidP="0045380A">
      <w:r>
        <w:separator/>
      </w:r>
    </w:p>
  </w:footnote>
  <w:footnote w:type="continuationSeparator" w:id="0">
    <w:p w14:paraId="7F7F7317" w14:textId="77777777" w:rsidR="003F3B6F" w:rsidRDefault="003F3B6F" w:rsidP="004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sz w:val="20"/>
        <w:szCs w:val="20"/>
      </w:rPr>
    </w:sdtEndPr>
    <w:sdtContent>
      <w:p w14:paraId="79A7B704" w14:textId="3FD09B4D" w:rsidR="006F3728" w:rsidRPr="00675FE7" w:rsidRDefault="006F3728" w:rsidP="006F37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A15F9">
          <w:rPr>
            <w:rFonts w:ascii="Verdana" w:hAnsi="Verdana"/>
            <w:noProof/>
            <w:sz w:val="20"/>
            <w:szCs w:val="20"/>
          </w:rPr>
          <w:t>1</w:t>
        </w:r>
        <w:r w:rsidRPr="00675FE7">
          <w:rPr>
            <w:rFonts w:ascii="Verdana" w:hAnsi="Verdana"/>
            <w:noProof/>
            <w:sz w:val="20"/>
            <w:szCs w:val="20"/>
          </w:rPr>
          <w:fldChar w:fldCharType="end"/>
        </w:r>
      </w:p>
    </w:sdtContent>
  </w:sdt>
  <w:p w14:paraId="3225109C" w14:textId="77777777" w:rsidR="006F3728" w:rsidRDefault="006F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D2B3F22"/>
    <w:multiLevelType w:val="hybridMultilevel"/>
    <w:tmpl w:val="59DA6642"/>
    <w:lvl w:ilvl="0" w:tplc="AC9C8608">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0A"/>
    <w:rsid w:val="00213AB8"/>
    <w:rsid w:val="00284850"/>
    <w:rsid w:val="003A7E5E"/>
    <w:rsid w:val="003F3B6F"/>
    <w:rsid w:val="0045380A"/>
    <w:rsid w:val="005E5811"/>
    <w:rsid w:val="00682C62"/>
    <w:rsid w:val="006E535D"/>
    <w:rsid w:val="006F3728"/>
    <w:rsid w:val="008727FE"/>
    <w:rsid w:val="008A15F9"/>
    <w:rsid w:val="009832C0"/>
    <w:rsid w:val="00B43FAE"/>
    <w:rsid w:val="00B716CD"/>
    <w:rsid w:val="00C821B1"/>
    <w:rsid w:val="00E5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D16D"/>
  <w15:docId w15:val="{000B6ACF-0892-48E9-B6F9-9B638920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0A"/>
    <w:pPr>
      <w:tabs>
        <w:tab w:val="center" w:pos="4680"/>
        <w:tab w:val="right" w:pos="9360"/>
      </w:tabs>
    </w:pPr>
  </w:style>
  <w:style w:type="character" w:customStyle="1" w:styleId="EncabezadoCar">
    <w:name w:val="Encabezado Car"/>
    <w:basedOn w:val="Fuentedeprrafopredeter"/>
    <w:link w:val="Encabezado"/>
    <w:uiPriority w:val="99"/>
    <w:rsid w:val="0045380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5380A"/>
    <w:pPr>
      <w:tabs>
        <w:tab w:val="center" w:pos="4680"/>
        <w:tab w:val="right" w:pos="9360"/>
      </w:tabs>
    </w:pPr>
  </w:style>
  <w:style w:type="character" w:customStyle="1" w:styleId="PiedepginaCar">
    <w:name w:val="Pie de página Car"/>
    <w:basedOn w:val="Fuentedeprrafopredeter"/>
    <w:link w:val="Piedepgina"/>
    <w:uiPriority w:val="99"/>
    <w:rsid w:val="0045380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45380A"/>
    <w:pPr>
      <w:ind w:left="720"/>
      <w:contextualSpacing/>
    </w:pPr>
  </w:style>
  <w:style w:type="character" w:customStyle="1" w:styleId="apple-style-span">
    <w:name w:val="apple-style-span"/>
    <w:qFormat/>
    <w:rsid w:val="00213AB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627</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Milagro Valverde</cp:lastModifiedBy>
  <cp:revision>3</cp:revision>
  <dcterms:created xsi:type="dcterms:W3CDTF">2019-06-26T22:32:00Z</dcterms:created>
  <dcterms:modified xsi:type="dcterms:W3CDTF">2020-12-09T18:30:00Z</dcterms:modified>
</cp:coreProperties>
</file>