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2DAD4" w14:textId="36B2F768" w:rsidR="006E7F48" w:rsidRPr="00296F77" w:rsidRDefault="009F7EF4" w:rsidP="00A61C2C">
      <w:pPr>
        <w:jc w:val="center"/>
      </w:pPr>
      <w:r w:rsidRPr="00834F1A">
        <w:rPr>
          <w:b/>
          <w:sz w:val="20"/>
          <w:szCs w:val="20"/>
          <w:u w:val="single"/>
          <w:lang w:val="es-CR"/>
        </w:rPr>
        <w:t xml:space="preserve">Caso </w:t>
      </w:r>
      <w:proofErr w:type="spellStart"/>
      <w:r w:rsidR="00A61C2C" w:rsidRPr="00A61C2C">
        <w:rPr>
          <w:b/>
          <w:sz w:val="20"/>
          <w:szCs w:val="20"/>
          <w:u w:val="single"/>
        </w:rPr>
        <w:t>Quispialaya</w:t>
      </w:r>
      <w:proofErr w:type="spellEnd"/>
      <w:r w:rsidR="00A61C2C" w:rsidRPr="00A61C2C">
        <w:rPr>
          <w:b/>
          <w:sz w:val="20"/>
          <w:szCs w:val="20"/>
          <w:u w:val="single"/>
        </w:rPr>
        <w:t xml:space="preserve"> Vilcapoma</w:t>
      </w:r>
      <w:r w:rsidR="00CF7246" w:rsidRPr="00B32A37">
        <w:rPr>
          <w:b/>
          <w:i/>
          <w:sz w:val="20"/>
          <w:szCs w:val="20"/>
          <w:u w:val="single"/>
          <w:lang w:val="es-CR"/>
        </w:rPr>
        <w:t xml:space="preserve"> </w:t>
      </w:r>
      <w:r w:rsidRPr="00B32A37">
        <w:rPr>
          <w:b/>
          <w:i/>
          <w:sz w:val="20"/>
          <w:szCs w:val="20"/>
          <w:u w:val="single"/>
          <w:lang w:val="es-CR"/>
        </w:rPr>
        <w:t xml:space="preserve">Vs. </w:t>
      </w:r>
      <w:r w:rsidR="00A61C2C">
        <w:rPr>
          <w:b/>
          <w:sz w:val="20"/>
          <w:szCs w:val="20"/>
          <w:u w:val="single"/>
          <w:lang w:val="es-MX"/>
        </w:rPr>
        <w:t>Perú</w:t>
      </w:r>
      <w:r w:rsidRPr="00296F77">
        <w:rPr>
          <w:b/>
          <w:sz w:val="20"/>
          <w:szCs w:val="20"/>
          <w:u w:val="single"/>
          <w:lang w:val="es-MX"/>
        </w:rPr>
        <w:t xml:space="preserve">: reparaciones </w:t>
      </w:r>
      <w:r w:rsidR="00C15A03">
        <w:rPr>
          <w:b/>
          <w:sz w:val="20"/>
          <w:szCs w:val="20"/>
          <w:u w:val="single"/>
          <w:lang w:val="es-MX"/>
        </w:rPr>
        <w:t>pendientes de cumplimiento</w:t>
      </w:r>
    </w:p>
    <w:p w14:paraId="77F1F498" w14:textId="77777777" w:rsidR="00296F77" w:rsidRDefault="00296F77" w:rsidP="00296F77">
      <w:pPr>
        <w:tabs>
          <w:tab w:val="left" w:pos="709"/>
        </w:tabs>
        <w:ind w:right="99"/>
        <w:jc w:val="both"/>
      </w:pPr>
    </w:p>
    <w:p w14:paraId="51231613" w14:textId="292533BF" w:rsidR="00A61C2C" w:rsidRPr="00A61C2C" w:rsidRDefault="00C15A03" w:rsidP="00A61C2C">
      <w:pPr>
        <w:pStyle w:val="ListParagraph"/>
        <w:numPr>
          <w:ilvl w:val="3"/>
          <w:numId w:val="7"/>
        </w:numPr>
        <w:tabs>
          <w:tab w:val="left" w:pos="720"/>
        </w:tabs>
        <w:spacing w:after="240"/>
        <w:ind w:left="0" w:right="-90" w:firstLine="0"/>
        <w:contextualSpacing w:val="0"/>
        <w:jc w:val="both"/>
        <w:rPr>
          <w:rFonts w:eastAsia="Cambria" w:cs="Times New Roman"/>
          <w:bCs/>
          <w:sz w:val="20"/>
          <w:szCs w:val="20"/>
          <w:lang w:val="es-ES"/>
        </w:rPr>
      </w:pPr>
      <w:r w:rsidRPr="00C15A03">
        <w:rPr>
          <w:rFonts w:eastAsia="Cambria" w:cs="Times New Roman"/>
          <w:bCs/>
          <w:sz w:val="20"/>
          <w:szCs w:val="20"/>
        </w:rPr>
        <w:t xml:space="preserve">Continuar la investigación y/o proceso penal actualmente en curso por los hechos relacionados con la violación a la integridad personal sufrida por el señor </w:t>
      </w:r>
      <w:proofErr w:type="spellStart"/>
      <w:r w:rsidRPr="00C15A03">
        <w:rPr>
          <w:rFonts w:eastAsia="Cambria" w:cs="Times New Roman"/>
          <w:bCs/>
          <w:sz w:val="20"/>
          <w:szCs w:val="20"/>
        </w:rPr>
        <w:t>Quispialaya</w:t>
      </w:r>
      <w:proofErr w:type="spellEnd"/>
      <w:r w:rsidRPr="00C15A03">
        <w:rPr>
          <w:rFonts w:eastAsia="Cambria" w:cs="Times New Roman"/>
          <w:bCs/>
          <w:sz w:val="20"/>
          <w:szCs w:val="20"/>
        </w:rPr>
        <w:t xml:space="preserve"> Vilcapoma, con la debida diligencia y en un plazo razonable para identificar, procesar y, en su caso, sancionar a los responsables, en los términos de los párrafos 261 a 262 de la Sentencia.</w:t>
      </w:r>
    </w:p>
    <w:p w14:paraId="58EC435D" w14:textId="00DC95EC" w:rsidR="00A61C2C" w:rsidRPr="00A61C2C" w:rsidRDefault="00C15A03" w:rsidP="00A61C2C">
      <w:pPr>
        <w:pStyle w:val="ListParagraph"/>
        <w:numPr>
          <w:ilvl w:val="3"/>
          <w:numId w:val="7"/>
        </w:numPr>
        <w:tabs>
          <w:tab w:val="left" w:pos="720"/>
        </w:tabs>
        <w:spacing w:after="240"/>
        <w:ind w:left="0" w:right="-90" w:firstLine="0"/>
        <w:contextualSpacing w:val="0"/>
        <w:jc w:val="both"/>
        <w:rPr>
          <w:rFonts w:eastAsia="Cambria" w:cs="Times New Roman"/>
          <w:bCs/>
          <w:sz w:val="20"/>
          <w:szCs w:val="20"/>
          <w:lang w:val="es-ES"/>
        </w:rPr>
      </w:pPr>
      <w:r w:rsidRPr="00C15A03">
        <w:rPr>
          <w:rFonts w:eastAsia="Cambria" w:cs="Times New Roman"/>
          <w:bCs/>
          <w:sz w:val="20"/>
          <w:szCs w:val="20"/>
        </w:rPr>
        <w:t>Incluir en las capacitaciones ordenadas en casos previos materiales de formación y cursos regulares sobre los límites de la disciplina militar, en los términos del párrafo 275 de la Sentencia.</w:t>
      </w:r>
    </w:p>
    <w:p w14:paraId="66AAB3BE" w14:textId="1CB13DA2" w:rsidR="00750BE1" w:rsidRPr="00C15A03" w:rsidRDefault="00C15A03" w:rsidP="00A61C2C">
      <w:pPr>
        <w:pStyle w:val="ListParagraph"/>
        <w:numPr>
          <w:ilvl w:val="3"/>
          <w:numId w:val="7"/>
        </w:numPr>
        <w:tabs>
          <w:tab w:val="left" w:pos="720"/>
        </w:tabs>
        <w:spacing w:after="240"/>
        <w:ind w:left="0" w:right="-90" w:firstLine="0"/>
        <w:contextualSpacing w:val="0"/>
        <w:jc w:val="both"/>
        <w:rPr>
          <w:rFonts w:eastAsia="Cambria" w:cs="Times New Roman"/>
          <w:bCs/>
          <w:sz w:val="20"/>
          <w:szCs w:val="20"/>
          <w:lang w:val="es-ES"/>
        </w:rPr>
      </w:pPr>
      <w:r w:rsidRPr="00C15A03">
        <w:rPr>
          <w:rFonts w:eastAsia="Cambria" w:cs="Times New Roman"/>
          <w:bCs/>
          <w:sz w:val="20"/>
          <w:szCs w:val="20"/>
        </w:rPr>
        <w:t>Asegurarse que todo el personal que se incorpore voluntariamente al servicio militar reciba la “Cartilla de deberes y derechos del personal del servicio militar”, así como información sobre los mecanismos para presentar sus quejas o denuncias ante la Oficina de Asistencia al Personal del Servicio Militar Voluntario y la Fiscalía Penal ordinaria, a través del Subsistema Especializado integrado. Asimismo, cuando las oficinas de asistencia al personal militar reciban denuncias por violaciones a la integridad personal ocurridas durante el servicio militar, deben remitirlas inmediatamente a los órganos correspondientes de la jurisdicción ordinaria, en los términos de los párrafos 280.a y 280.b de la Sentencia.</w:t>
      </w:r>
    </w:p>
    <w:p w14:paraId="5696201B" w14:textId="5BC6B9AE" w:rsidR="00C15A03" w:rsidRPr="00C15A03" w:rsidRDefault="00C15A03" w:rsidP="00A61C2C">
      <w:pPr>
        <w:pStyle w:val="ListParagraph"/>
        <w:numPr>
          <w:ilvl w:val="3"/>
          <w:numId w:val="7"/>
        </w:numPr>
        <w:tabs>
          <w:tab w:val="left" w:pos="720"/>
        </w:tabs>
        <w:spacing w:after="240"/>
        <w:ind w:left="0" w:right="-90" w:firstLine="0"/>
        <w:contextualSpacing w:val="0"/>
        <w:jc w:val="both"/>
        <w:rPr>
          <w:rFonts w:eastAsia="Cambria" w:cs="Times New Roman"/>
          <w:bCs/>
          <w:sz w:val="20"/>
          <w:szCs w:val="20"/>
          <w:lang w:val="es-ES"/>
        </w:rPr>
      </w:pPr>
      <w:r w:rsidRPr="00C15A03">
        <w:rPr>
          <w:rFonts w:eastAsia="Cambria" w:cs="Times New Roman"/>
          <w:bCs/>
          <w:sz w:val="20"/>
          <w:szCs w:val="20"/>
        </w:rPr>
        <w:t xml:space="preserve">Disponer la realización de visitas periódicas y no anunciadas a las instalaciones militares donde se realice el servicio militar voluntario, por parte de autoridades independientes, autónomas y con competencia en la materia, a fin de verificar el buen trato y condiciones en las que se desarrolla el servicio </w:t>
      </w:r>
      <w:proofErr w:type="gramStart"/>
      <w:r w:rsidRPr="00C15A03">
        <w:rPr>
          <w:rFonts w:eastAsia="Cambria" w:cs="Times New Roman"/>
          <w:bCs/>
          <w:sz w:val="20"/>
          <w:szCs w:val="20"/>
        </w:rPr>
        <w:t>militar</w:t>
      </w:r>
      <w:proofErr w:type="gramEnd"/>
      <w:r w:rsidRPr="00C15A03">
        <w:rPr>
          <w:rFonts w:eastAsia="Cambria" w:cs="Times New Roman"/>
          <w:bCs/>
          <w:sz w:val="20"/>
          <w:szCs w:val="20"/>
        </w:rPr>
        <w:t xml:space="preserve"> así como el cumplimiento de los derechos y beneficios del personal de tropa, en los términos del párrafo 280.c de la Sentencia.</w:t>
      </w:r>
    </w:p>
    <w:p w14:paraId="71CE2365" w14:textId="05EC1A21" w:rsidR="00C15A03" w:rsidRPr="00C15A03" w:rsidRDefault="00C15A03" w:rsidP="00A61C2C">
      <w:pPr>
        <w:pStyle w:val="ListParagraph"/>
        <w:numPr>
          <w:ilvl w:val="3"/>
          <w:numId w:val="7"/>
        </w:numPr>
        <w:tabs>
          <w:tab w:val="left" w:pos="720"/>
        </w:tabs>
        <w:spacing w:after="240"/>
        <w:ind w:left="0" w:right="-90" w:firstLine="0"/>
        <w:contextualSpacing w:val="0"/>
        <w:jc w:val="both"/>
        <w:rPr>
          <w:rFonts w:eastAsia="Cambria" w:cs="Times New Roman"/>
          <w:bCs/>
          <w:sz w:val="20"/>
          <w:szCs w:val="20"/>
          <w:lang w:val="es-ES"/>
        </w:rPr>
      </w:pPr>
      <w:r w:rsidRPr="00C15A03">
        <w:rPr>
          <w:rFonts w:eastAsia="Cambria" w:cs="Times New Roman"/>
          <w:bCs/>
          <w:sz w:val="20"/>
          <w:szCs w:val="20"/>
        </w:rPr>
        <w:t>Poner en funcionamiento el Mecanismo Nacional de Prevención de la Tortura y otros Tratos o Penas Crueles, Inhumanos o Degradantes, ya aprobado por el Congreso Nacional peruano. Asimismo, el Perú deberá asegurarse que dicho mecanismo disponga de todos los recursos logísticos y científicos necesarios para recabar pruebas y documentar denuncias y, en particular, tenga facultades para acceder a la documentación e información pertinentes para investigar los hechos denunciados y llevar a cabo con prontitud aquellas actuaciones y averiguaciones esenciales para esclarecer lo sucedido. Los miembros del Mecanismo Nacional deben contar con las debidas garantías de seguridad, en los términos del párrafo 280.d de la Sentencia.</w:t>
      </w:r>
    </w:p>
    <w:p w14:paraId="4DB32028" w14:textId="5F1DEDE9" w:rsidR="00C15A03" w:rsidRPr="00C15A03" w:rsidRDefault="00C15A03" w:rsidP="00A61C2C">
      <w:pPr>
        <w:pStyle w:val="ListParagraph"/>
        <w:numPr>
          <w:ilvl w:val="3"/>
          <w:numId w:val="7"/>
        </w:numPr>
        <w:tabs>
          <w:tab w:val="left" w:pos="720"/>
        </w:tabs>
        <w:spacing w:after="240"/>
        <w:ind w:left="0" w:right="-90" w:firstLine="0"/>
        <w:contextualSpacing w:val="0"/>
        <w:jc w:val="both"/>
        <w:rPr>
          <w:rFonts w:eastAsia="Cambria" w:cs="Times New Roman"/>
          <w:bCs/>
          <w:sz w:val="20"/>
          <w:szCs w:val="20"/>
          <w:lang w:val="es-ES"/>
        </w:rPr>
      </w:pPr>
      <w:r w:rsidRPr="00C15A03">
        <w:rPr>
          <w:rFonts w:eastAsia="Cambria" w:cs="Times New Roman"/>
          <w:bCs/>
          <w:sz w:val="20"/>
          <w:szCs w:val="20"/>
        </w:rPr>
        <w:t xml:space="preserve">A solicitud del señor </w:t>
      </w:r>
      <w:proofErr w:type="spellStart"/>
      <w:r w:rsidRPr="00C15A03">
        <w:rPr>
          <w:rFonts w:eastAsia="Cambria" w:cs="Times New Roman"/>
          <w:bCs/>
          <w:sz w:val="20"/>
          <w:szCs w:val="20"/>
        </w:rPr>
        <w:t>Valdemir</w:t>
      </w:r>
      <w:proofErr w:type="spellEnd"/>
      <w:r w:rsidRPr="00C15A03">
        <w:rPr>
          <w:rFonts w:eastAsia="Cambria" w:cs="Times New Roman"/>
          <w:bCs/>
          <w:sz w:val="20"/>
          <w:szCs w:val="20"/>
        </w:rPr>
        <w:t xml:space="preserve"> </w:t>
      </w:r>
      <w:proofErr w:type="spellStart"/>
      <w:r w:rsidRPr="00C15A03">
        <w:rPr>
          <w:rFonts w:eastAsia="Cambria" w:cs="Times New Roman"/>
          <w:bCs/>
          <w:sz w:val="20"/>
          <w:szCs w:val="20"/>
        </w:rPr>
        <w:t>Quispialaya</w:t>
      </w:r>
      <w:proofErr w:type="spellEnd"/>
      <w:r w:rsidRPr="00C15A03">
        <w:rPr>
          <w:rFonts w:eastAsia="Cambria" w:cs="Times New Roman"/>
          <w:bCs/>
          <w:sz w:val="20"/>
          <w:szCs w:val="20"/>
        </w:rPr>
        <w:t xml:space="preserve">, brindar gratuitamente, a través de sus instituciones de salud especializadas, y de forma inmediata, adecuada y efectiva, el tratamiento médico y psicológico o psiquiátrico que el señor </w:t>
      </w:r>
      <w:proofErr w:type="spellStart"/>
      <w:r w:rsidRPr="00C15A03">
        <w:rPr>
          <w:rFonts w:eastAsia="Cambria" w:cs="Times New Roman"/>
          <w:bCs/>
          <w:sz w:val="20"/>
          <w:szCs w:val="20"/>
        </w:rPr>
        <w:t>Quispialaya</w:t>
      </w:r>
      <w:proofErr w:type="spellEnd"/>
      <w:r w:rsidRPr="00C15A03">
        <w:rPr>
          <w:rFonts w:eastAsia="Cambria" w:cs="Times New Roman"/>
          <w:bCs/>
          <w:sz w:val="20"/>
          <w:szCs w:val="20"/>
        </w:rPr>
        <w:t xml:space="preserve"> requiera, incluyendo el suministro gratuito de los medicamentos que eventualmente se requiera, tomando en consideración sus padecimientos, en los términos del párrafo 292 de la Sentencia.</w:t>
      </w:r>
    </w:p>
    <w:p w14:paraId="1A3CDAB7" w14:textId="29EB4FE0" w:rsidR="00C15A03" w:rsidRPr="00C15A03" w:rsidRDefault="00C15A03" w:rsidP="00A61C2C">
      <w:pPr>
        <w:pStyle w:val="ListParagraph"/>
        <w:numPr>
          <w:ilvl w:val="3"/>
          <w:numId w:val="7"/>
        </w:numPr>
        <w:tabs>
          <w:tab w:val="left" w:pos="720"/>
        </w:tabs>
        <w:spacing w:after="240"/>
        <w:ind w:left="0" w:right="-90" w:firstLine="0"/>
        <w:contextualSpacing w:val="0"/>
        <w:jc w:val="both"/>
        <w:rPr>
          <w:rFonts w:eastAsia="Cambria" w:cs="Times New Roman"/>
          <w:bCs/>
          <w:sz w:val="20"/>
          <w:szCs w:val="20"/>
          <w:lang w:val="es-ES"/>
        </w:rPr>
      </w:pPr>
      <w:r w:rsidRPr="00C15A03">
        <w:rPr>
          <w:rFonts w:eastAsia="Cambria" w:cs="Times New Roman"/>
          <w:bCs/>
          <w:sz w:val="20"/>
          <w:szCs w:val="20"/>
        </w:rPr>
        <w:t>Pagar dentro del plazo de un año, contado a partir de la notificación de la presente Sentencia, la cantidad fijada por concepto de daño material y daño inmaterial, en los términos de los párrafos 306 y 312 de la Sentencia.</w:t>
      </w:r>
    </w:p>
    <w:p w14:paraId="4364082F" w14:textId="17CFA6CB" w:rsidR="00C15A03" w:rsidRPr="00F135BC" w:rsidRDefault="00C15A03" w:rsidP="00A61C2C">
      <w:pPr>
        <w:pStyle w:val="ListParagraph"/>
        <w:numPr>
          <w:ilvl w:val="3"/>
          <w:numId w:val="7"/>
        </w:numPr>
        <w:tabs>
          <w:tab w:val="left" w:pos="720"/>
        </w:tabs>
        <w:spacing w:after="240"/>
        <w:ind w:left="0" w:right="-90" w:firstLine="0"/>
        <w:contextualSpacing w:val="0"/>
        <w:jc w:val="both"/>
        <w:rPr>
          <w:rFonts w:eastAsia="Cambria" w:cs="Times New Roman"/>
          <w:bCs/>
          <w:sz w:val="20"/>
          <w:szCs w:val="20"/>
          <w:lang w:val="es-ES"/>
        </w:rPr>
      </w:pPr>
      <w:r w:rsidRPr="00C15A03">
        <w:rPr>
          <w:rFonts w:eastAsia="Cambria" w:cs="Times New Roman"/>
          <w:bCs/>
          <w:sz w:val="20"/>
          <w:szCs w:val="20"/>
        </w:rPr>
        <w:t>Pagar dentro del plazo de un año, contado a partir de la notificación de la presente Sentencia, la cantidad fijada por concepto de reintegro de costas y gastos, en los términos del párrafo 323 de la sentencia.</w:t>
      </w:r>
    </w:p>
    <w:p w14:paraId="3DBE6D58" w14:textId="77777777" w:rsidR="002E376C" w:rsidRPr="002E376C" w:rsidRDefault="002E376C" w:rsidP="002E376C">
      <w:pPr>
        <w:pStyle w:val="ListParagraph"/>
        <w:tabs>
          <w:tab w:val="left" w:pos="720"/>
        </w:tabs>
        <w:ind w:left="0" w:right="-90"/>
        <w:contextualSpacing w:val="0"/>
        <w:rPr>
          <w:rFonts w:eastAsia="Cambria" w:cs="Times New Roman"/>
          <w:bCs/>
          <w:sz w:val="20"/>
          <w:szCs w:val="20"/>
          <w:lang w:val="es-ES"/>
        </w:rPr>
      </w:pPr>
    </w:p>
    <w:p w14:paraId="4D75A355" w14:textId="77777777" w:rsidR="00D3440D" w:rsidRPr="00CF7246" w:rsidRDefault="00D3440D" w:rsidP="00CB5BB1">
      <w:pPr>
        <w:pStyle w:val="ListParagraph"/>
        <w:tabs>
          <w:tab w:val="left" w:pos="720"/>
        </w:tabs>
        <w:ind w:left="0" w:right="-90"/>
        <w:contextualSpacing w:val="0"/>
        <w:jc w:val="both"/>
        <w:rPr>
          <w:rFonts w:eastAsia="Cambria" w:cs="Times New Roman"/>
          <w:bCs/>
          <w:sz w:val="20"/>
          <w:szCs w:val="20"/>
          <w:lang w:val="es-ES"/>
        </w:rPr>
      </w:pPr>
    </w:p>
    <w:sectPr w:rsidR="00D3440D" w:rsidRPr="00CF724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FB702" w14:textId="77777777" w:rsidR="002658F4" w:rsidRDefault="002658F4" w:rsidP="009F7EF4">
      <w:r>
        <w:separator/>
      </w:r>
    </w:p>
  </w:endnote>
  <w:endnote w:type="continuationSeparator" w:id="0">
    <w:p w14:paraId="0AC29B83" w14:textId="77777777" w:rsidR="002658F4" w:rsidRDefault="002658F4"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BE76" w14:textId="77777777" w:rsidR="009F7EF4" w:rsidRDefault="009F7EF4" w:rsidP="009F7EF4">
    <w:pPr>
      <w:pStyle w:val="Footer"/>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AF6B4D7" w14:textId="77777777" w:rsidR="009F7EF4" w:rsidRDefault="009F7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2B98A" w14:textId="77777777" w:rsidR="002658F4" w:rsidRDefault="002658F4" w:rsidP="009F7EF4">
      <w:r>
        <w:separator/>
      </w:r>
    </w:p>
  </w:footnote>
  <w:footnote w:type="continuationSeparator" w:id="0">
    <w:p w14:paraId="7B8B1824" w14:textId="77777777" w:rsidR="002658F4" w:rsidRDefault="002658F4"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05615315" w14:textId="77777777" w:rsidR="001426AA" w:rsidRPr="00675FE7" w:rsidRDefault="001426AA" w:rsidP="001426AA">
        <w:pPr>
          <w:pStyle w:val="Header"/>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10345B">
          <w:rPr>
            <w:noProof/>
            <w:sz w:val="20"/>
            <w:szCs w:val="20"/>
          </w:rPr>
          <w:t>1</w:t>
        </w:r>
        <w:r w:rsidRPr="00675FE7">
          <w:rPr>
            <w:noProof/>
            <w:sz w:val="20"/>
            <w:szCs w:val="20"/>
          </w:rPr>
          <w:fldChar w:fldCharType="end"/>
        </w:r>
      </w:p>
    </w:sdtContent>
  </w:sdt>
  <w:p w14:paraId="01BCFDC9" w14:textId="77777777" w:rsidR="001426AA" w:rsidRDefault="00142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6578001">
    <w:abstractNumId w:val="6"/>
  </w:num>
  <w:num w:numId="2" w16cid:durableId="911040624">
    <w:abstractNumId w:val="2"/>
  </w:num>
  <w:num w:numId="3" w16cid:durableId="710426429">
    <w:abstractNumId w:val="5"/>
  </w:num>
  <w:num w:numId="4" w16cid:durableId="1921670566">
    <w:abstractNumId w:val="0"/>
  </w:num>
  <w:num w:numId="5" w16cid:durableId="102500323">
    <w:abstractNumId w:val="1"/>
  </w:num>
  <w:num w:numId="6" w16cid:durableId="647134052">
    <w:abstractNumId w:val="3"/>
  </w:num>
  <w:num w:numId="7" w16cid:durableId="1463842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10C8B"/>
    <w:rsid w:val="000930F6"/>
    <w:rsid w:val="00101CC6"/>
    <w:rsid w:val="0010345B"/>
    <w:rsid w:val="001426AA"/>
    <w:rsid w:val="002658F4"/>
    <w:rsid w:val="00296F77"/>
    <w:rsid w:val="002B3295"/>
    <w:rsid w:val="002E376C"/>
    <w:rsid w:val="00302B6F"/>
    <w:rsid w:val="003A5A68"/>
    <w:rsid w:val="003A7E5E"/>
    <w:rsid w:val="003C561A"/>
    <w:rsid w:val="004458A1"/>
    <w:rsid w:val="00474D04"/>
    <w:rsid w:val="00476F6E"/>
    <w:rsid w:val="004F770B"/>
    <w:rsid w:val="005A203D"/>
    <w:rsid w:val="005D1A85"/>
    <w:rsid w:val="00617B3E"/>
    <w:rsid w:val="006A777A"/>
    <w:rsid w:val="006C38A6"/>
    <w:rsid w:val="00750BE1"/>
    <w:rsid w:val="00792165"/>
    <w:rsid w:val="00834F1A"/>
    <w:rsid w:val="008C0B61"/>
    <w:rsid w:val="008C1FD0"/>
    <w:rsid w:val="008C63A9"/>
    <w:rsid w:val="00926FFB"/>
    <w:rsid w:val="009832C0"/>
    <w:rsid w:val="009D22BE"/>
    <w:rsid w:val="009F7EF4"/>
    <w:rsid w:val="00A61C2C"/>
    <w:rsid w:val="00AB2467"/>
    <w:rsid w:val="00AE0035"/>
    <w:rsid w:val="00B11B9B"/>
    <w:rsid w:val="00B32A37"/>
    <w:rsid w:val="00B33305"/>
    <w:rsid w:val="00BA6BA9"/>
    <w:rsid w:val="00BC5824"/>
    <w:rsid w:val="00C15A03"/>
    <w:rsid w:val="00C4747D"/>
    <w:rsid w:val="00C807CF"/>
    <w:rsid w:val="00CB5BB1"/>
    <w:rsid w:val="00CF7246"/>
    <w:rsid w:val="00D3440D"/>
    <w:rsid w:val="00E210BA"/>
    <w:rsid w:val="00E217FA"/>
    <w:rsid w:val="00E42392"/>
    <w:rsid w:val="00E85D9E"/>
    <w:rsid w:val="00F135BC"/>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C442C"/>
  <w15:docId w15:val="{046AEE5E-9069-49D0-9293-B7DF89D8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EF4"/>
    <w:pPr>
      <w:tabs>
        <w:tab w:val="center" w:pos="4680"/>
        <w:tab w:val="right" w:pos="9360"/>
      </w:tabs>
    </w:pPr>
  </w:style>
  <w:style w:type="character" w:customStyle="1" w:styleId="HeaderChar">
    <w:name w:val="Header Char"/>
    <w:basedOn w:val="DefaultParagraphFont"/>
    <w:link w:val="Header"/>
    <w:uiPriority w:val="99"/>
    <w:rsid w:val="009F7EF4"/>
    <w:rPr>
      <w:rFonts w:ascii="Verdana" w:eastAsia="Batang" w:hAnsi="Verdana" w:cs="Times"/>
      <w:sz w:val="16"/>
      <w:szCs w:val="24"/>
      <w:lang w:val="es-ES_tradnl"/>
    </w:rPr>
  </w:style>
  <w:style w:type="paragraph" w:styleId="Footer">
    <w:name w:val="footer"/>
    <w:basedOn w:val="Normal"/>
    <w:link w:val="FooterChar"/>
    <w:uiPriority w:val="99"/>
    <w:unhideWhenUsed/>
    <w:rsid w:val="009F7EF4"/>
    <w:pPr>
      <w:tabs>
        <w:tab w:val="center" w:pos="4680"/>
        <w:tab w:val="right" w:pos="9360"/>
      </w:tabs>
    </w:pPr>
  </w:style>
  <w:style w:type="character" w:customStyle="1" w:styleId="FooterChar">
    <w:name w:val="Footer Char"/>
    <w:basedOn w:val="DefaultParagraphFont"/>
    <w:link w:val="Footer"/>
    <w:uiPriority w:val="99"/>
    <w:rsid w:val="009F7EF4"/>
    <w:rPr>
      <w:rFonts w:ascii="Verdana" w:eastAsia="Batang" w:hAnsi="Verdana" w:cs="Times"/>
      <w:sz w:val="16"/>
      <w:szCs w:val="24"/>
      <w:lang w:val="es-ES_tradnl"/>
    </w:rPr>
  </w:style>
  <w:style w:type="character" w:customStyle="1" w:styleId="apple-style-span">
    <w:name w:val="apple-style-span"/>
    <w:basedOn w:val="DefaultParagraphFont"/>
    <w:rsid w:val="009F7EF4"/>
  </w:style>
  <w:style w:type="paragraph" w:styleId="ListParagraph">
    <w:name w:val="List Paragraph"/>
    <w:aliases w:val="Footnote,List Paragraph1,Colorful List - Accent 11,Párrafo de lista1,List Paragraph2,Lista vistosa - Énfasis 11"/>
    <w:basedOn w:val="Normal"/>
    <w:link w:val="ListParagraphChar"/>
    <w:uiPriority w:val="99"/>
    <w:qFormat/>
    <w:rsid w:val="00296F77"/>
    <w:pPr>
      <w:ind w:left="720"/>
      <w:contextualSpacing/>
    </w:pPr>
  </w:style>
  <w:style w:type="character" w:customStyle="1" w:styleId="ListParagraphChar">
    <w:name w:val="List Paragraph Char"/>
    <w:aliases w:val="Footnote Char,List Paragraph1 Char,Colorful List - Accent 11 Char,Párrafo de lista1 Char,List Paragraph2 Char,Lista vistosa - Énfasis 11 Char"/>
    <w:link w:val="ListParagraph"/>
    <w:uiPriority w:val="99"/>
    <w:rsid w:val="00BC5824"/>
    <w:rPr>
      <w:rFonts w:ascii="Verdana" w:eastAsia="Batang" w:hAnsi="Verdana" w:cs="Times"/>
      <w:sz w:val="16"/>
      <w:szCs w:val="24"/>
      <w:lang w:val="es-ES_tradnl"/>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FootnoteTextChar"/>
    <w:qFormat/>
    <w:rsid w:val="00926FFB"/>
    <w:pPr>
      <w:jc w:val="both"/>
    </w:pPr>
    <w:rPr>
      <w:rFonts w:eastAsia="Times" w:cs="Times New Roman"/>
      <w:szCs w:val="20"/>
      <w:lang w:val="en-US" w:eastAsia="x-none"/>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rsid w:val="00926FFB"/>
    <w:rPr>
      <w:rFonts w:ascii="Verdana" w:eastAsia="Times" w:hAnsi="Verdana" w:cs="Times New Roman"/>
      <w:sz w:val="16"/>
      <w:szCs w:val="20"/>
      <w:lang w:eastAsia="x-none"/>
    </w:rPr>
  </w:style>
  <w:style w:type="character" w:styleId="FootnoteReferenc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523</Words>
  <Characters>2856</Characters>
  <Application>Microsoft Office Word</Application>
  <DocSecurity>0</DocSecurity>
  <Lines>51</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Adolfo Lara</cp:lastModifiedBy>
  <cp:revision>2</cp:revision>
  <cp:lastPrinted>2018-07-09T19:23:00Z</cp:lastPrinted>
  <dcterms:created xsi:type="dcterms:W3CDTF">2023-01-31T16:43:00Z</dcterms:created>
  <dcterms:modified xsi:type="dcterms:W3CDTF">2023-01-31T16:43:00Z</dcterms:modified>
</cp:coreProperties>
</file>