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5" w:rsidRPr="00310AA7" w:rsidRDefault="00310AA7" w:rsidP="00310AA7">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Tenorio Roca y o</w:t>
      </w:r>
      <w:r w:rsidR="00881606" w:rsidRPr="00310AA7">
        <w:rPr>
          <w:rFonts w:ascii="Verdana" w:hAnsi="Verdana"/>
          <w:b/>
          <w:sz w:val="20"/>
          <w:szCs w:val="20"/>
          <w:u w:val="single"/>
          <w:lang w:val="es-ES"/>
        </w:rPr>
        <w:t xml:space="preserve">tros </w:t>
      </w:r>
      <w:r w:rsidR="00881606" w:rsidRPr="00310AA7">
        <w:rPr>
          <w:rFonts w:ascii="Verdana" w:hAnsi="Verdana"/>
          <w:b/>
          <w:i/>
          <w:sz w:val="20"/>
          <w:szCs w:val="20"/>
          <w:u w:val="single"/>
          <w:lang w:val="es-ES"/>
        </w:rPr>
        <w:t>Vs</w:t>
      </w:r>
      <w:r w:rsidR="00881606" w:rsidRPr="00310AA7">
        <w:rPr>
          <w:rFonts w:ascii="Verdana" w:hAnsi="Verdana"/>
          <w:b/>
          <w:sz w:val="20"/>
          <w:szCs w:val="20"/>
          <w:u w:val="single"/>
          <w:lang w:val="es-ES"/>
        </w:rPr>
        <w:t xml:space="preserve">. Perú: reparaciones </w:t>
      </w:r>
      <w:r w:rsidR="00385F23">
        <w:rPr>
          <w:rFonts w:ascii="Verdana" w:hAnsi="Verdana"/>
          <w:b/>
          <w:sz w:val="20"/>
          <w:szCs w:val="20"/>
          <w:u w:val="single"/>
          <w:lang w:val="es-ES"/>
        </w:rPr>
        <w:t>declaradas cumplidas</w:t>
      </w:r>
    </w:p>
    <w:p w:rsidR="002914BB" w:rsidRDefault="002914BB" w:rsidP="00310AA7">
      <w:pPr>
        <w:spacing w:after="0" w:line="240" w:lineRule="auto"/>
        <w:jc w:val="center"/>
        <w:rPr>
          <w:rFonts w:ascii="Verdana" w:hAnsi="Verdana"/>
          <w:b/>
          <w:u w:val="single"/>
          <w:lang w:val="es-ES"/>
        </w:rPr>
      </w:pPr>
    </w:p>
    <w:p w:rsidR="002914BB" w:rsidRDefault="002914BB" w:rsidP="00385F23">
      <w:pPr>
        <w:pStyle w:val="Prrafodelista"/>
        <w:spacing w:after="0" w:line="240" w:lineRule="auto"/>
        <w:ind w:left="360"/>
        <w:jc w:val="both"/>
        <w:rPr>
          <w:rFonts w:ascii="Verdana" w:hAnsi="Verdana"/>
          <w:sz w:val="20"/>
          <w:szCs w:val="20"/>
          <w:lang w:val="es-ES"/>
        </w:rPr>
      </w:pPr>
    </w:p>
    <w:p w:rsidR="00881606" w:rsidRDefault="00881606" w:rsidP="00385F23">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Realizar las publicaciones indicadas en el párrafo 288 de la Sentencia.</w:t>
      </w:r>
    </w:p>
    <w:p w:rsidR="002914BB" w:rsidRPr="002914BB" w:rsidRDefault="002914BB" w:rsidP="00385F23">
      <w:pPr>
        <w:pStyle w:val="Prrafodelista"/>
        <w:spacing w:after="0" w:line="240" w:lineRule="auto"/>
        <w:jc w:val="both"/>
        <w:rPr>
          <w:rFonts w:ascii="Verdana" w:hAnsi="Verdana"/>
          <w:sz w:val="20"/>
          <w:szCs w:val="20"/>
          <w:lang w:val="es-ES"/>
        </w:rPr>
      </w:pPr>
    </w:p>
    <w:p w:rsidR="00881606" w:rsidRDefault="00881606" w:rsidP="00385F23">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Realizar un acto público de reconocimiento de responsabilidad internacional por los hechos del presente caso, de conformidad con lo establecido en el párrafo 293 de la Sentencia.</w:t>
      </w:r>
    </w:p>
    <w:p w:rsidR="002914BB" w:rsidRPr="00385F23" w:rsidRDefault="002914BB" w:rsidP="00385F23">
      <w:pPr>
        <w:spacing w:after="0" w:line="240" w:lineRule="auto"/>
        <w:jc w:val="both"/>
        <w:rPr>
          <w:rFonts w:ascii="Verdana" w:hAnsi="Verdana"/>
          <w:sz w:val="20"/>
          <w:szCs w:val="20"/>
          <w:lang w:val="es-ES"/>
        </w:rPr>
      </w:pPr>
    </w:p>
    <w:p w:rsidR="00881606" w:rsidRDefault="00881606" w:rsidP="00385F23">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Reformar, a la mayor brevedad, su legislación penal a efectos de compatibilizarla con la tipificación de</w:t>
      </w:r>
      <w:bookmarkStart w:id="0" w:name="_GoBack"/>
      <w:bookmarkEnd w:id="0"/>
      <w:r w:rsidRPr="00881606">
        <w:rPr>
          <w:rFonts w:ascii="Verdana" w:hAnsi="Verdana"/>
          <w:sz w:val="20"/>
          <w:szCs w:val="20"/>
          <w:lang w:val="es-ES"/>
        </w:rPr>
        <w:t xml:space="preserve"> acuerdo a los parámetros internacionales en materia de desaparición forzada de personas, de conformidad con lo establecido en los párrafos 303 a 304 de la Sentencia.</w:t>
      </w:r>
    </w:p>
    <w:p w:rsidR="002914BB" w:rsidRPr="00385F23" w:rsidRDefault="002914BB" w:rsidP="00385F23">
      <w:pPr>
        <w:spacing w:after="0" w:line="240" w:lineRule="auto"/>
        <w:jc w:val="both"/>
        <w:rPr>
          <w:rFonts w:ascii="Verdana" w:hAnsi="Verdana"/>
          <w:sz w:val="20"/>
          <w:szCs w:val="20"/>
          <w:lang w:val="es-ES"/>
        </w:rPr>
      </w:pPr>
    </w:p>
    <w:p w:rsidR="00881606" w:rsidRPr="00881606" w:rsidRDefault="00881606" w:rsidP="00385F23">
      <w:pPr>
        <w:pStyle w:val="Prrafodelista"/>
        <w:numPr>
          <w:ilvl w:val="0"/>
          <w:numId w:val="1"/>
        </w:numPr>
        <w:spacing w:after="0" w:line="240" w:lineRule="auto"/>
        <w:jc w:val="both"/>
        <w:rPr>
          <w:rFonts w:ascii="Verdana" w:hAnsi="Verdana"/>
          <w:sz w:val="20"/>
          <w:szCs w:val="20"/>
          <w:lang w:val="es-ES"/>
        </w:rPr>
      </w:pPr>
      <w:r w:rsidRPr="00881606">
        <w:rPr>
          <w:rFonts w:ascii="Verdana" w:hAnsi="Verdana"/>
          <w:sz w:val="20"/>
          <w:szCs w:val="20"/>
          <w:lang w:val="es-ES"/>
        </w:rPr>
        <w:t xml:space="preserve">Reintegrar al Fondo de Asistencia Legal de Víctimas de la Corte Interamericana de Derechos Humanos la cantidad erogada durante la tramitación del presente caso, en los términos de los párrafos 346 a 349 y 355 de </w:t>
      </w:r>
      <w:r w:rsidR="00385F23">
        <w:rPr>
          <w:rFonts w:ascii="Verdana" w:hAnsi="Verdana"/>
          <w:sz w:val="20"/>
          <w:szCs w:val="20"/>
          <w:lang w:val="es-ES"/>
        </w:rPr>
        <w:t>la</w:t>
      </w:r>
      <w:r w:rsidRPr="00881606">
        <w:rPr>
          <w:rFonts w:ascii="Verdana" w:hAnsi="Verdana"/>
          <w:sz w:val="20"/>
          <w:szCs w:val="20"/>
          <w:lang w:val="es-ES"/>
        </w:rPr>
        <w:t xml:space="preserve"> Sentencia.</w:t>
      </w:r>
    </w:p>
    <w:p w:rsidR="00881606" w:rsidRPr="00881606" w:rsidRDefault="00881606" w:rsidP="00881606">
      <w:pPr>
        <w:jc w:val="both"/>
        <w:rPr>
          <w:rFonts w:ascii="Verdana" w:hAnsi="Verdana"/>
          <w:sz w:val="20"/>
          <w:szCs w:val="20"/>
          <w:lang w:val="es-ES"/>
        </w:rPr>
      </w:pPr>
    </w:p>
    <w:sectPr w:rsidR="00881606" w:rsidRPr="008816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6C" w:rsidRDefault="00BA176C" w:rsidP="00881606">
      <w:pPr>
        <w:spacing w:after="0" w:line="240" w:lineRule="auto"/>
      </w:pPr>
      <w:r>
        <w:separator/>
      </w:r>
    </w:p>
  </w:endnote>
  <w:endnote w:type="continuationSeparator" w:id="0">
    <w:p w:rsidR="00BA176C" w:rsidRDefault="00BA176C" w:rsidP="0088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606" w:rsidRPr="005F4150" w:rsidRDefault="00881606" w:rsidP="00881606">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6C" w:rsidRDefault="00BA176C" w:rsidP="00881606">
      <w:pPr>
        <w:spacing w:after="0" w:line="240" w:lineRule="auto"/>
      </w:pPr>
      <w:r>
        <w:separator/>
      </w:r>
    </w:p>
  </w:footnote>
  <w:footnote w:type="continuationSeparator" w:id="0">
    <w:p w:rsidR="00BA176C" w:rsidRDefault="00BA176C" w:rsidP="0088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016347"/>
      <w:docPartObj>
        <w:docPartGallery w:val="Page Numbers (Top of Page)"/>
        <w:docPartUnique/>
      </w:docPartObj>
    </w:sdtPr>
    <w:sdtEndPr>
      <w:rPr>
        <w:noProof/>
      </w:rPr>
    </w:sdtEndPr>
    <w:sdtContent>
      <w:p w:rsidR="00881606" w:rsidRDefault="00881606">
        <w:pPr>
          <w:pStyle w:val="Encabezado"/>
          <w:jc w:val="right"/>
        </w:pPr>
        <w:r>
          <w:fldChar w:fldCharType="begin"/>
        </w:r>
        <w:r>
          <w:instrText xml:space="preserve"> PAGE   \* MERGEFORMAT </w:instrText>
        </w:r>
        <w:r>
          <w:fldChar w:fldCharType="separate"/>
        </w:r>
        <w:r w:rsidR="00385F23">
          <w:rPr>
            <w:noProof/>
          </w:rPr>
          <w:t>1</w:t>
        </w:r>
        <w:r>
          <w:rPr>
            <w:noProof/>
          </w:rPr>
          <w:fldChar w:fldCharType="end"/>
        </w:r>
      </w:p>
    </w:sdtContent>
  </w:sdt>
  <w:p w:rsidR="00881606" w:rsidRDefault="008816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0DF8"/>
    <w:multiLevelType w:val="hybridMultilevel"/>
    <w:tmpl w:val="03D42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06"/>
    <w:rsid w:val="00014E17"/>
    <w:rsid w:val="002914BB"/>
    <w:rsid w:val="0029263A"/>
    <w:rsid w:val="00310AA7"/>
    <w:rsid w:val="00385F23"/>
    <w:rsid w:val="00544A2D"/>
    <w:rsid w:val="006C07A2"/>
    <w:rsid w:val="00881606"/>
    <w:rsid w:val="00BA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2F1F"/>
  <w15:docId w15:val="{F7C53208-D548-4BCE-9714-13B0B525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1606"/>
    <w:pPr>
      <w:ind w:left="720"/>
      <w:contextualSpacing/>
    </w:pPr>
  </w:style>
  <w:style w:type="paragraph" w:styleId="Encabezado">
    <w:name w:val="header"/>
    <w:basedOn w:val="Normal"/>
    <w:link w:val="EncabezadoCar"/>
    <w:uiPriority w:val="99"/>
    <w:unhideWhenUsed/>
    <w:rsid w:val="0088160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81606"/>
  </w:style>
  <w:style w:type="paragraph" w:styleId="Piedepgina">
    <w:name w:val="footer"/>
    <w:basedOn w:val="Normal"/>
    <w:link w:val="PiedepginaCar"/>
    <w:uiPriority w:val="99"/>
    <w:unhideWhenUsed/>
    <w:rsid w:val="0088160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8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4</cp:revision>
  <dcterms:created xsi:type="dcterms:W3CDTF">2016-11-09T22:19:00Z</dcterms:created>
  <dcterms:modified xsi:type="dcterms:W3CDTF">2021-04-09T07:27:00Z</dcterms:modified>
</cp:coreProperties>
</file>