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20" w:rsidRPr="002A6820" w:rsidRDefault="002A6820" w:rsidP="002A6820">
      <w:pPr>
        <w:tabs>
          <w:tab w:val="left" w:pos="567"/>
          <w:tab w:val="left" w:pos="1134"/>
        </w:tabs>
        <w:ind w:right="29"/>
        <w:jc w:val="center"/>
        <w:rPr>
          <w:b/>
          <w:szCs w:val="20"/>
          <w:u w:val="single"/>
        </w:rPr>
      </w:pPr>
      <w:r w:rsidRPr="002A6820">
        <w:rPr>
          <w:b/>
          <w:szCs w:val="20"/>
          <w:u w:val="single"/>
        </w:rPr>
        <w:t xml:space="preserve">Caso </w:t>
      </w:r>
      <w:r>
        <w:rPr>
          <w:b/>
          <w:szCs w:val="20"/>
          <w:u w:val="single"/>
        </w:rPr>
        <w:t>de P</w:t>
      </w:r>
      <w:r w:rsidRPr="002A6820">
        <w:rPr>
          <w:b/>
          <w:szCs w:val="20"/>
          <w:u w:val="single"/>
        </w:rPr>
        <w:t xml:space="preserve">ersonas dominicanas y haitianas expulsadas </w:t>
      </w:r>
      <w:r w:rsidRPr="002A6820">
        <w:rPr>
          <w:b/>
          <w:i/>
          <w:szCs w:val="20"/>
          <w:u w:val="single"/>
        </w:rPr>
        <w:t>Vs.</w:t>
      </w:r>
      <w:r w:rsidRPr="002A6820">
        <w:rPr>
          <w:b/>
          <w:szCs w:val="20"/>
          <w:u w:val="single"/>
        </w:rPr>
        <w:t xml:space="preserve"> República Dominicana: reparaciones pendientes de cumplimiento </w:t>
      </w:r>
    </w:p>
    <w:p w:rsidR="00615A2F" w:rsidRDefault="00615A2F" w:rsidP="00615A2F">
      <w:pPr>
        <w:tabs>
          <w:tab w:val="left" w:pos="567"/>
        </w:tabs>
        <w:autoSpaceDE w:val="0"/>
        <w:autoSpaceDN w:val="0"/>
        <w:ind w:right="29"/>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szCs w:val="20"/>
          <w:lang w:val="es-MX"/>
        </w:rPr>
        <w:t>A</w:t>
      </w:r>
      <w:r w:rsidRPr="00615A2F">
        <w:rPr>
          <w:szCs w:val="20"/>
          <w:lang w:val="es-MX"/>
        </w:rPr>
        <w:t xml:space="preserve">doptar, en un plazo de seis meses contado a partir de la notificación de esta Sentencia, las medidas necesarias para que </w:t>
      </w:r>
      <w:proofErr w:type="spellStart"/>
      <w:r w:rsidRPr="00615A2F">
        <w:rPr>
          <w:szCs w:val="20"/>
          <w:lang w:val="es-MX"/>
        </w:rPr>
        <w:t>Willian</w:t>
      </w:r>
      <w:proofErr w:type="spellEnd"/>
      <w:r w:rsidRPr="00615A2F">
        <w:rPr>
          <w:szCs w:val="20"/>
          <w:lang w:val="es-MX"/>
        </w:rPr>
        <w:t xml:space="preserve"> Medina Ferreras, </w:t>
      </w:r>
      <w:proofErr w:type="spellStart"/>
      <w:r w:rsidRPr="00615A2F">
        <w:rPr>
          <w:szCs w:val="20"/>
          <w:lang w:val="es-MX"/>
        </w:rPr>
        <w:t>Awilda</w:t>
      </w:r>
      <w:proofErr w:type="spellEnd"/>
      <w:r w:rsidRPr="00615A2F">
        <w:rPr>
          <w:szCs w:val="20"/>
          <w:lang w:val="es-MX"/>
        </w:rPr>
        <w:t xml:space="preserve"> Medina y Luis </w:t>
      </w:r>
      <w:proofErr w:type="spellStart"/>
      <w:r w:rsidRPr="00615A2F">
        <w:rPr>
          <w:szCs w:val="20"/>
          <w:lang w:val="es-MX"/>
        </w:rPr>
        <w:t>Ney</w:t>
      </w:r>
      <w:proofErr w:type="spellEnd"/>
      <w:r w:rsidRPr="00615A2F">
        <w:rPr>
          <w:szCs w:val="20"/>
          <w:lang w:val="es-MX"/>
        </w:rPr>
        <w:t xml:space="preserve"> Medina cuenten con la documentación necesaria para acreditar su identidad y nacionalidad dominicana, en los términos del párrafo 452 de la presente Sentencia. Además, el Estado debe adoptar las medidas necesarias para dejar sin efecto las investigaciones administrativas, así como los procesos judiciales civiles y penales en curso vinculados a registros y documentación de </w:t>
      </w:r>
      <w:proofErr w:type="spellStart"/>
      <w:r w:rsidRPr="00615A2F">
        <w:rPr>
          <w:szCs w:val="20"/>
          <w:lang w:val="es-MX"/>
        </w:rPr>
        <w:t>Willian</w:t>
      </w:r>
      <w:proofErr w:type="spellEnd"/>
      <w:r w:rsidRPr="00615A2F">
        <w:rPr>
          <w:szCs w:val="20"/>
          <w:lang w:val="es-MX"/>
        </w:rPr>
        <w:t xml:space="preserve"> Medina Ferreras, </w:t>
      </w:r>
      <w:proofErr w:type="spellStart"/>
      <w:r w:rsidRPr="00615A2F">
        <w:rPr>
          <w:szCs w:val="20"/>
          <w:lang w:val="es-MX"/>
        </w:rPr>
        <w:t>Awilda</w:t>
      </w:r>
      <w:proofErr w:type="spellEnd"/>
      <w:r w:rsidRPr="00615A2F">
        <w:rPr>
          <w:szCs w:val="20"/>
          <w:lang w:val="es-MX"/>
        </w:rPr>
        <w:t xml:space="preserve"> Medina, Luis </w:t>
      </w:r>
      <w:proofErr w:type="spellStart"/>
      <w:r w:rsidRPr="00615A2F">
        <w:rPr>
          <w:szCs w:val="20"/>
          <w:lang w:val="es-MX"/>
        </w:rPr>
        <w:t>Ney</w:t>
      </w:r>
      <w:proofErr w:type="spellEnd"/>
      <w:r w:rsidRPr="00615A2F">
        <w:rPr>
          <w:szCs w:val="20"/>
          <w:lang w:val="es-MX"/>
        </w:rPr>
        <w:t xml:space="preserve"> Medina y Carolina Isabel Medina, en los términos del párrafos 457 de la presente Sentencia. </w:t>
      </w:r>
    </w:p>
    <w:p w:rsidR="00615A2F" w:rsidRPr="00615A2F" w:rsidRDefault="00615A2F" w:rsidP="00615A2F">
      <w:pPr>
        <w:pStyle w:val="ListParagraph"/>
        <w:tabs>
          <w:tab w:val="left" w:pos="360"/>
        </w:tabs>
        <w:autoSpaceDE w:val="0"/>
        <w:autoSpaceDN w:val="0"/>
        <w:ind w:left="360" w:right="29"/>
        <w:rPr>
          <w:rFonts w:cs="Verdana"/>
          <w:szCs w:val="20"/>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szCs w:val="20"/>
          <w:lang w:val="es-MX"/>
        </w:rPr>
        <w:t>A</w:t>
      </w:r>
      <w:r w:rsidRPr="00615A2F">
        <w:rPr>
          <w:szCs w:val="20"/>
          <w:lang w:val="es-MX"/>
        </w:rPr>
        <w:t>doptar, en un plazo de seis meses contado a partir de la notificación de esta Sentencia, las medidas que sean necesarias para que Víctor Jean, Miguel Jean, Victoria Jean, Natalie Jean, sean, según corresponda, debidamente registrados y cuenten con la documentación necesaria para acreditar su identidad y nacionalidad dominicana, en los términos de los párrafos 458 de la presente Sentencia.</w:t>
      </w:r>
    </w:p>
    <w:p w:rsidR="00615A2F" w:rsidRPr="00615A2F" w:rsidRDefault="00615A2F" w:rsidP="00615A2F">
      <w:pPr>
        <w:pStyle w:val="ListParagraph"/>
        <w:rPr>
          <w:rFonts w:cs="Verdana"/>
          <w:szCs w:val="20"/>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szCs w:val="20"/>
          <w:lang w:val="es-MX"/>
        </w:rPr>
        <w:t>A</w:t>
      </w:r>
      <w:r w:rsidRPr="00615A2F">
        <w:rPr>
          <w:szCs w:val="20"/>
          <w:lang w:val="es-MX"/>
        </w:rPr>
        <w:t>doptar, en un plazo de seis meses contado a partir de la notificación de esta Sentencia, las medidas necesarias para que Marlene Mesidor pueda residir o permanecer en forma regular en el territorio de República Dominicana, en los términos de los párrafos 459 de la presente Sentencia.</w:t>
      </w:r>
    </w:p>
    <w:p w:rsidR="00615A2F" w:rsidRPr="00615A2F" w:rsidRDefault="00615A2F" w:rsidP="00615A2F">
      <w:pPr>
        <w:pStyle w:val="ListParagraph"/>
        <w:rPr>
          <w:rFonts w:cs="Verdana"/>
          <w:szCs w:val="20"/>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szCs w:val="20"/>
          <w:lang w:val="es-MX"/>
        </w:rPr>
        <w:t>R</w:t>
      </w:r>
      <w:r w:rsidRPr="00615A2F">
        <w:rPr>
          <w:szCs w:val="20"/>
          <w:lang w:val="es-MX"/>
        </w:rPr>
        <w:t xml:space="preserve">ealizar las publicaciones ordenadas que se indican en el párrafo 460 del presente Fallo, en el plazo de seis meses contado a partir de la notificación de la presente Sentencia. Asimismo, el Estado debe mantener disponible, por un plazo de un año, este Fallo en un sitio </w:t>
      </w:r>
      <w:r w:rsidRPr="00615A2F">
        <w:rPr>
          <w:i/>
          <w:szCs w:val="20"/>
          <w:lang w:val="es-MX"/>
        </w:rPr>
        <w:t>web</w:t>
      </w:r>
      <w:r w:rsidRPr="00615A2F">
        <w:rPr>
          <w:szCs w:val="20"/>
          <w:lang w:val="es-MX"/>
        </w:rPr>
        <w:t xml:space="preserve"> oficial del Estado, en los términos del párrafo 460 de la presente Sentencia. </w:t>
      </w:r>
    </w:p>
    <w:p w:rsidR="00615A2F" w:rsidRPr="00615A2F" w:rsidRDefault="00615A2F" w:rsidP="00615A2F">
      <w:pPr>
        <w:pStyle w:val="ListParagraph"/>
        <w:rPr>
          <w:rFonts w:cs="Verdana"/>
          <w:szCs w:val="20"/>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szCs w:val="20"/>
          <w:lang w:val="es-MX"/>
        </w:rPr>
        <w:t>R</w:t>
      </w:r>
      <w:r w:rsidRPr="00615A2F">
        <w:rPr>
          <w:rFonts w:cs="Verdana"/>
          <w:szCs w:val="20"/>
          <w:lang w:val="es-CR"/>
        </w:rPr>
        <w:t>ealizar</w:t>
      </w:r>
      <w:bookmarkStart w:id="0" w:name="_GoBack"/>
      <w:bookmarkEnd w:id="0"/>
      <w:r w:rsidRPr="00615A2F">
        <w:rPr>
          <w:rFonts w:cs="Verdana"/>
          <w:szCs w:val="20"/>
          <w:lang w:val="es-CR"/>
        </w:rPr>
        <w:t xml:space="preserve">, dentro de un plazo razonable, programas de capacitación de carácter continuo y permanente sobre temas relacionados con dicha población </w:t>
      </w:r>
      <w:r w:rsidRPr="00615A2F">
        <w:rPr>
          <w:color w:val="000000" w:themeColor="text1"/>
          <w:szCs w:val="20"/>
          <w:lang w:val="es-CR"/>
        </w:rPr>
        <w:t xml:space="preserve">con el fin de </w:t>
      </w:r>
      <w:r w:rsidRPr="00615A2F">
        <w:rPr>
          <w:color w:val="000000" w:themeColor="text1"/>
          <w:szCs w:val="20"/>
        </w:rPr>
        <w:t xml:space="preserve">asegurar que: a) los perfiles raciales no constituyan, de ningún modo, el motivo para realizar una detención o expulsión; b) </w:t>
      </w:r>
      <w:r w:rsidRPr="00615A2F">
        <w:rPr>
          <w:rFonts w:cs="Helvetica"/>
          <w:szCs w:val="20"/>
          <w:lang w:val="es-CR"/>
        </w:rPr>
        <w:t xml:space="preserve">la observancia estricta de las garantías del debido proceso </w:t>
      </w:r>
      <w:r w:rsidRPr="00615A2F">
        <w:rPr>
          <w:rFonts w:cs="Verdana"/>
          <w:szCs w:val="20"/>
          <w:lang w:val="es-CR"/>
        </w:rPr>
        <w:t>durante cualquier procedimiento relacionado con la expulsión o deportación de extranjeros; c) no se realicen, bajo ningún supuesto, expulsiones de personas de nacionalidad dominicana, y d) no se realicen expulsiones de carácter colectivo de extranjeros,</w:t>
      </w:r>
      <w:r w:rsidRPr="00615A2F">
        <w:rPr>
          <w:szCs w:val="20"/>
          <w:lang w:val="es-MX"/>
        </w:rPr>
        <w:t xml:space="preserve"> en los términos del párrafo 465 de la presente Sentencia.</w:t>
      </w:r>
    </w:p>
    <w:p w:rsidR="00615A2F" w:rsidRPr="00615A2F" w:rsidRDefault="00615A2F" w:rsidP="00615A2F">
      <w:pPr>
        <w:pStyle w:val="ListParagraph"/>
        <w:rPr>
          <w:rFonts w:cs="Verdana"/>
          <w:szCs w:val="20"/>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rFonts w:cs="Verdana"/>
          <w:szCs w:val="20"/>
        </w:rPr>
        <w:t>A</w:t>
      </w:r>
      <w:r w:rsidRPr="00615A2F">
        <w:rPr>
          <w:rFonts w:cs="Verdana"/>
          <w:szCs w:val="20"/>
        </w:rPr>
        <w:t xml:space="preserve">doptar, en un plazo razonable, </w:t>
      </w:r>
      <w:r w:rsidRPr="00615A2F">
        <w:rPr>
          <w:rFonts w:cs="Verdana"/>
          <w:szCs w:val="20"/>
          <w:lang w:val="es-CR"/>
        </w:rPr>
        <w:t>las medidas necesarias para evitar que la sentencia TC/0168/13 y lo dispuesto por los artículos 6, 8 y 11 de la Ley No. 169-14 continúen produciendo efectos jurídicos,</w:t>
      </w:r>
      <w:r w:rsidRPr="00615A2F">
        <w:rPr>
          <w:szCs w:val="20"/>
          <w:lang w:val="es-MX"/>
        </w:rPr>
        <w:t xml:space="preserve"> en los términos del párrafo 468 de la presente Sentencia.</w:t>
      </w:r>
    </w:p>
    <w:p w:rsidR="00615A2F" w:rsidRPr="00615A2F" w:rsidRDefault="00615A2F" w:rsidP="00615A2F">
      <w:pPr>
        <w:pStyle w:val="ListParagraph"/>
        <w:rPr>
          <w:rFonts w:cs="Verdana"/>
          <w:szCs w:val="20"/>
        </w:rPr>
      </w:pPr>
    </w:p>
    <w:p w:rsid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rFonts w:cs="Verdana"/>
          <w:szCs w:val="20"/>
        </w:rPr>
        <w:t>A</w:t>
      </w:r>
      <w:r w:rsidRPr="00615A2F">
        <w:rPr>
          <w:rFonts w:cs="Verdana"/>
          <w:szCs w:val="20"/>
        </w:rPr>
        <w:t>doptar, en un plazo razonable, las medidas necesarias para dejar sin efecto toda norma de cualquier naturaleza, sea ésta constitucional, legal, reglamentaria o administrativa, así como toda práctica, o decisión, o interpretación, que establezca o tenga por efecto que la estancia irregular de los padres extranjeros motive la negación de la nacionalidad dominicana a las personas nacidas en el territorio de República Dominicana, en los términos del párrafo 469 de la presente Sentencia.</w:t>
      </w:r>
    </w:p>
    <w:p w:rsidR="00615A2F" w:rsidRPr="00615A2F" w:rsidRDefault="00615A2F" w:rsidP="00615A2F">
      <w:pPr>
        <w:pStyle w:val="ListParagraph"/>
        <w:rPr>
          <w:szCs w:val="20"/>
          <w:lang w:val="es-MX"/>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szCs w:val="20"/>
          <w:lang w:val="es-MX"/>
        </w:rPr>
        <w:t>A</w:t>
      </w:r>
      <w:r w:rsidRPr="00615A2F">
        <w:rPr>
          <w:szCs w:val="20"/>
          <w:lang w:val="es-MX"/>
        </w:rPr>
        <w:t xml:space="preserve">doptar, en un plazo razonable, las medidas legislativas, inclusive, si fuera necesario, constitucionales, administrativas y de cualquier otra índole que sean necesarias para regular un procedimiento de inscripción de nacimiento que debe ser accesible y sencillo, </w:t>
      </w:r>
      <w:r w:rsidRPr="00615A2F">
        <w:rPr>
          <w:szCs w:val="20"/>
          <w:lang w:val="es-MX"/>
        </w:rPr>
        <w:lastRenderedPageBreak/>
        <w:t xml:space="preserve">de modo de asegurar que todas las personas nacidas en su territorio puedan ser inscritas inmediatamente después de su nacimiento independientemente de su ascendencia u origen y de la situación migratoria de sus padres, en los términos del párrafo 470 de la presente Sentencia. </w:t>
      </w:r>
    </w:p>
    <w:p w:rsidR="00615A2F" w:rsidRPr="00615A2F" w:rsidRDefault="00615A2F" w:rsidP="00615A2F">
      <w:pPr>
        <w:pStyle w:val="ListParagraph"/>
        <w:rPr>
          <w:rFonts w:cs="Verdana"/>
        </w:rPr>
      </w:pPr>
    </w:p>
    <w:p w:rsidR="00615A2F" w:rsidRPr="00615A2F" w:rsidRDefault="00615A2F" w:rsidP="00615A2F">
      <w:pPr>
        <w:pStyle w:val="ListParagraph"/>
        <w:numPr>
          <w:ilvl w:val="0"/>
          <w:numId w:val="2"/>
        </w:numPr>
        <w:tabs>
          <w:tab w:val="left" w:pos="360"/>
        </w:tabs>
        <w:autoSpaceDE w:val="0"/>
        <w:autoSpaceDN w:val="0"/>
        <w:ind w:left="360" w:right="29"/>
        <w:rPr>
          <w:rFonts w:cs="Verdana"/>
          <w:szCs w:val="20"/>
        </w:rPr>
      </w:pPr>
      <w:r w:rsidRPr="00615A2F">
        <w:rPr>
          <w:rFonts w:cs="Verdana"/>
        </w:rPr>
        <w:t>P</w:t>
      </w:r>
      <w:r w:rsidRPr="00615A2F">
        <w:rPr>
          <w:szCs w:val="20"/>
          <w:lang w:val="es-MX"/>
        </w:rPr>
        <w:t xml:space="preserve">agar, en el plazo de un año contado a partir de la notificación de esta Sentencia, las cantidades fijadas en los párrafos 481, 485, 498 a 500, de la presente Sentencia por concepto de indemnizaciones por daño material e inmaterial, por reintegro de costas y gastos, así como por reintegro al Fondo de Asistencia Legal de Víctimas, en los términos del párrafo 504 de la presente Sentencia. </w:t>
      </w:r>
    </w:p>
    <w:p w:rsidR="00615A2F" w:rsidRDefault="00615A2F"/>
    <w:sectPr w:rsidR="00615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20" w:rsidRDefault="002A6820" w:rsidP="002A6820">
      <w:r>
        <w:separator/>
      </w:r>
    </w:p>
  </w:endnote>
  <w:endnote w:type="continuationSeparator" w:id="0">
    <w:p w:rsidR="002A6820" w:rsidRDefault="002A6820" w:rsidP="002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20" w:rsidRPr="009B7426" w:rsidRDefault="002A6820" w:rsidP="002A6820">
    <w:pPr>
      <w:rPr>
        <w:rFonts w:eastAsia="Times"/>
        <w:bCs/>
        <w:sz w:val="16"/>
        <w:szCs w:val="16"/>
        <w:lang w:val="es-MX"/>
      </w:rPr>
    </w:pPr>
    <w:r w:rsidRPr="009B7426">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A6820" w:rsidRPr="002A6820" w:rsidRDefault="002A6820">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20" w:rsidRDefault="002A6820" w:rsidP="002A6820">
      <w:r>
        <w:separator/>
      </w:r>
    </w:p>
  </w:footnote>
  <w:footnote w:type="continuationSeparator" w:id="0">
    <w:p w:rsidR="002A6820" w:rsidRDefault="002A6820" w:rsidP="002A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24569"/>
      <w:docPartObj>
        <w:docPartGallery w:val="Page Numbers (Top of Page)"/>
        <w:docPartUnique/>
      </w:docPartObj>
    </w:sdtPr>
    <w:sdtEndPr>
      <w:rPr>
        <w:noProof/>
      </w:rPr>
    </w:sdtEndPr>
    <w:sdtContent>
      <w:p w:rsidR="002A6820" w:rsidRDefault="002A6820">
        <w:pPr>
          <w:pStyle w:val="Header"/>
          <w:jc w:val="right"/>
        </w:pPr>
        <w:r>
          <w:fldChar w:fldCharType="begin"/>
        </w:r>
        <w:r>
          <w:instrText xml:space="preserve"> PAGE   \* MERGEFORMAT </w:instrText>
        </w:r>
        <w:r>
          <w:fldChar w:fldCharType="separate"/>
        </w:r>
        <w:r w:rsidR="00885FBC">
          <w:rPr>
            <w:noProof/>
          </w:rPr>
          <w:t>1</w:t>
        </w:r>
        <w:r>
          <w:rPr>
            <w:noProof/>
          </w:rPr>
          <w:fldChar w:fldCharType="end"/>
        </w:r>
      </w:p>
    </w:sdtContent>
  </w:sdt>
  <w:p w:rsidR="002A6820" w:rsidRDefault="002A6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F2239"/>
    <w:multiLevelType w:val="hybridMultilevel"/>
    <w:tmpl w:val="2B721C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7D511C"/>
    <w:multiLevelType w:val="hybridMultilevel"/>
    <w:tmpl w:val="B1D81CA4"/>
    <w:lvl w:ilvl="0" w:tplc="3E6070D0">
      <w:start w:val="1"/>
      <w:numFmt w:val="decimal"/>
      <w:lvlText w:val="%1."/>
      <w:lvlJc w:val="left"/>
      <w:pPr>
        <w:ind w:left="720" w:hanging="360"/>
      </w:pPr>
      <w:rPr>
        <w:rFonts w:ascii="Verdana" w:hAnsi="Verdana"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20"/>
    <w:rsid w:val="002A6820"/>
    <w:rsid w:val="003A7E5E"/>
    <w:rsid w:val="00615A2F"/>
    <w:rsid w:val="00885FBC"/>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20"/>
    <w:pPr>
      <w:spacing w:after="0" w:line="240" w:lineRule="auto"/>
      <w:jc w:val="both"/>
    </w:pPr>
    <w:rPr>
      <w:rFonts w:ascii="Verdana" w:eastAsia="Calibri" w:hAnsi="Verdana" w:cs="Times New Roman"/>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820"/>
    <w:pPr>
      <w:tabs>
        <w:tab w:val="center" w:pos="4680"/>
        <w:tab w:val="right" w:pos="9360"/>
      </w:tabs>
    </w:pPr>
  </w:style>
  <w:style w:type="character" w:customStyle="1" w:styleId="HeaderChar">
    <w:name w:val="Header Char"/>
    <w:basedOn w:val="DefaultParagraphFont"/>
    <w:link w:val="Header"/>
    <w:uiPriority w:val="99"/>
    <w:rsid w:val="002A6820"/>
    <w:rPr>
      <w:rFonts w:ascii="Verdana" w:eastAsia="Calibri" w:hAnsi="Verdana" w:cs="Times New Roman"/>
      <w:sz w:val="20"/>
      <w:lang w:val="es-ES"/>
    </w:rPr>
  </w:style>
  <w:style w:type="paragraph" w:styleId="Footer">
    <w:name w:val="footer"/>
    <w:basedOn w:val="Normal"/>
    <w:link w:val="FooterChar"/>
    <w:uiPriority w:val="99"/>
    <w:unhideWhenUsed/>
    <w:rsid w:val="002A6820"/>
    <w:pPr>
      <w:tabs>
        <w:tab w:val="center" w:pos="4680"/>
        <w:tab w:val="right" w:pos="9360"/>
      </w:tabs>
    </w:pPr>
  </w:style>
  <w:style w:type="character" w:customStyle="1" w:styleId="FooterChar">
    <w:name w:val="Footer Char"/>
    <w:basedOn w:val="DefaultParagraphFont"/>
    <w:link w:val="Footer"/>
    <w:uiPriority w:val="99"/>
    <w:rsid w:val="002A6820"/>
    <w:rPr>
      <w:rFonts w:ascii="Verdana" w:eastAsia="Calibri" w:hAnsi="Verdana" w:cs="Times New Roman"/>
      <w:sz w:val="20"/>
      <w:lang w:val="es-ES"/>
    </w:rPr>
  </w:style>
  <w:style w:type="paragraph" w:styleId="ListParagraph">
    <w:name w:val="List Paragraph"/>
    <w:basedOn w:val="Normal"/>
    <w:uiPriority w:val="34"/>
    <w:qFormat/>
    <w:rsid w:val="00615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20"/>
    <w:pPr>
      <w:spacing w:after="0" w:line="240" w:lineRule="auto"/>
      <w:jc w:val="both"/>
    </w:pPr>
    <w:rPr>
      <w:rFonts w:ascii="Verdana" w:eastAsia="Calibri" w:hAnsi="Verdana" w:cs="Times New Roman"/>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820"/>
    <w:pPr>
      <w:tabs>
        <w:tab w:val="center" w:pos="4680"/>
        <w:tab w:val="right" w:pos="9360"/>
      </w:tabs>
    </w:pPr>
  </w:style>
  <w:style w:type="character" w:customStyle="1" w:styleId="HeaderChar">
    <w:name w:val="Header Char"/>
    <w:basedOn w:val="DefaultParagraphFont"/>
    <w:link w:val="Header"/>
    <w:uiPriority w:val="99"/>
    <w:rsid w:val="002A6820"/>
    <w:rPr>
      <w:rFonts w:ascii="Verdana" w:eastAsia="Calibri" w:hAnsi="Verdana" w:cs="Times New Roman"/>
      <w:sz w:val="20"/>
      <w:lang w:val="es-ES"/>
    </w:rPr>
  </w:style>
  <w:style w:type="paragraph" w:styleId="Footer">
    <w:name w:val="footer"/>
    <w:basedOn w:val="Normal"/>
    <w:link w:val="FooterChar"/>
    <w:uiPriority w:val="99"/>
    <w:unhideWhenUsed/>
    <w:rsid w:val="002A6820"/>
    <w:pPr>
      <w:tabs>
        <w:tab w:val="center" w:pos="4680"/>
        <w:tab w:val="right" w:pos="9360"/>
      </w:tabs>
    </w:pPr>
  </w:style>
  <w:style w:type="character" w:customStyle="1" w:styleId="FooterChar">
    <w:name w:val="Footer Char"/>
    <w:basedOn w:val="DefaultParagraphFont"/>
    <w:link w:val="Footer"/>
    <w:uiPriority w:val="99"/>
    <w:rsid w:val="002A6820"/>
    <w:rPr>
      <w:rFonts w:ascii="Verdana" w:eastAsia="Calibri" w:hAnsi="Verdana" w:cs="Times New Roman"/>
      <w:sz w:val="20"/>
      <w:lang w:val="es-ES"/>
    </w:rPr>
  </w:style>
  <w:style w:type="paragraph" w:styleId="ListParagraph">
    <w:name w:val="List Paragraph"/>
    <w:basedOn w:val="Normal"/>
    <w:uiPriority w:val="34"/>
    <w:qFormat/>
    <w:rsid w:val="00615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4</cp:revision>
  <dcterms:created xsi:type="dcterms:W3CDTF">2016-11-16T20:32:00Z</dcterms:created>
  <dcterms:modified xsi:type="dcterms:W3CDTF">2016-11-16T20:36:00Z</dcterms:modified>
</cp:coreProperties>
</file>