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25" w:rsidRPr="00311925" w:rsidRDefault="00311925" w:rsidP="00311925">
      <w:pPr>
        <w:tabs>
          <w:tab w:val="left" w:pos="720"/>
        </w:tabs>
        <w:ind w:right="-90"/>
        <w:jc w:val="center"/>
        <w:rPr>
          <w:rFonts w:cs="Verdana"/>
          <w:b/>
          <w:bCs/>
          <w:caps/>
          <w:snapToGrid w:val="0"/>
          <w:u w:val="single"/>
          <w:lang w:val="es-CR" w:eastAsia="es-ES"/>
        </w:rPr>
      </w:pPr>
      <w:r w:rsidRPr="00311925">
        <w:rPr>
          <w:rFonts w:cs="Verdana"/>
          <w:b/>
          <w:bCs/>
          <w:snapToGrid w:val="0"/>
          <w:u w:val="single"/>
          <w:lang w:val="es-CR" w:eastAsia="es-ES"/>
        </w:rPr>
        <w:t xml:space="preserve">Caso González Medina y familiares </w:t>
      </w:r>
      <w:r w:rsidRPr="00311925">
        <w:rPr>
          <w:rFonts w:cs="Verdana"/>
          <w:b/>
          <w:bCs/>
          <w:i/>
          <w:snapToGrid w:val="0"/>
          <w:u w:val="single"/>
          <w:lang w:val="es-CR" w:eastAsia="es-ES"/>
        </w:rPr>
        <w:t>Vs.</w:t>
      </w:r>
      <w:r w:rsidRPr="00311925">
        <w:rPr>
          <w:rFonts w:cs="Verdana"/>
          <w:b/>
          <w:bCs/>
          <w:snapToGrid w:val="0"/>
          <w:u w:val="single"/>
          <w:lang w:val="es-CR" w:eastAsia="es-ES"/>
        </w:rPr>
        <w:t xml:space="preserve"> República Dominicana: reparaciones pendientes de</w:t>
      </w:r>
      <w:bookmarkStart w:id="0" w:name="_GoBack"/>
      <w:bookmarkEnd w:id="0"/>
      <w:r w:rsidRPr="00311925">
        <w:rPr>
          <w:rFonts w:cs="Verdana"/>
          <w:b/>
          <w:bCs/>
          <w:snapToGrid w:val="0"/>
          <w:u w:val="single"/>
          <w:lang w:val="es-CR" w:eastAsia="es-ES"/>
        </w:rPr>
        <w:t xml:space="preserve"> cumplimiento</w:t>
      </w:r>
    </w:p>
    <w:p w:rsidR="00311925" w:rsidRDefault="00311925" w:rsidP="00311925">
      <w:pPr>
        <w:jc w:val="both"/>
        <w:rPr>
          <w:lang w:val="es-CR"/>
        </w:rPr>
      </w:pPr>
    </w:p>
    <w:p w:rsidR="00311925" w:rsidRDefault="00311925" w:rsidP="00311925">
      <w:pPr>
        <w:jc w:val="both"/>
        <w:rPr>
          <w:lang w:val="es-CR"/>
        </w:rPr>
      </w:pPr>
    </w:p>
    <w:p w:rsidR="00311925" w:rsidRDefault="00311925" w:rsidP="00311925">
      <w:pPr>
        <w:pStyle w:val="ListParagraph0"/>
        <w:numPr>
          <w:ilvl w:val="0"/>
          <w:numId w:val="1"/>
        </w:numPr>
        <w:ind w:left="360" w:hanging="360"/>
        <w:jc w:val="both"/>
        <w:rPr>
          <w:lang w:val="es-CR"/>
        </w:rPr>
      </w:pPr>
      <w:r w:rsidRPr="00311925">
        <w:rPr>
          <w:lang w:val="es-CR"/>
        </w:rPr>
        <w:t>C</w:t>
      </w:r>
      <w:r w:rsidRPr="00311925">
        <w:rPr>
          <w:lang w:val="es-CR"/>
        </w:rPr>
        <w:t xml:space="preserve">ontinuar y realizar las investigaciones y procesos necesarios, en un plazo razonable, con el fin de establecer la verdad de los hechos, así como de determinar y, en su caso, sancionar a los responsables de la desaparición forzada de </w:t>
      </w:r>
      <w:r w:rsidRPr="00311925">
        <w:rPr>
          <w:rFonts w:cs="Verdana"/>
          <w:lang w:val="es-CR"/>
        </w:rPr>
        <w:t>Narciso González Medina</w:t>
      </w:r>
      <w:r w:rsidRPr="00311925">
        <w:rPr>
          <w:lang w:val="es-CR" w:eastAsia="es-MX"/>
        </w:rPr>
        <w:t xml:space="preserve">, </w:t>
      </w:r>
      <w:r w:rsidRPr="00311925">
        <w:rPr>
          <w:rFonts w:cs="Verdana"/>
          <w:lang w:val="es-CR"/>
        </w:rPr>
        <w:t xml:space="preserve">de conformidad </w:t>
      </w:r>
      <w:r w:rsidRPr="00311925">
        <w:rPr>
          <w:lang w:val="es-CR"/>
        </w:rPr>
        <w:t>con lo establecido en los párrafos 284 a 286 de la presente Sentencia.</w:t>
      </w:r>
    </w:p>
    <w:p w:rsidR="00311925" w:rsidRDefault="00311925" w:rsidP="00311925">
      <w:pPr>
        <w:pStyle w:val="ListParagraph0"/>
        <w:ind w:left="360" w:hanging="360"/>
        <w:jc w:val="both"/>
        <w:rPr>
          <w:lang w:val="es-CR"/>
        </w:rPr>
      </w:pPr>
    </w:p>
    <w:p w:rsidR="00311925" w:rsidRDefault="00311925" w:rsidP="00311925">
      <w:pPr>
        <w:pStyle w:val="ListParagraph0"/>
        <w:numPr>
          <w:ilvl w:val="0"/>
          <w:numId w:val="1"/>
        </w:numPr>
        <w:ind w:left="360" w:hanging="360"/>
        <w:jc w:val="both"/>
        <w:rPr>
          <w:lang w:val="es-CR"/>
        </w:rPr>
      </w:pPr>
      <w:r w:rsidRPr="00311925">
        <w:rPr>
          <w:lang w:val="es-CR"/>
        </w:rPr>
        <w:t>E</w:t>
      </w:r>
      <w:r w:rsidRPr="00311925">
        <w:rPr>
          <w:lang w:val="es-CR"/>
        </w:rPr>
        <w:t xml:space="preserve">fectuar, a la mayor brevedad, una búsqueda seria, en la cual realice todos los esfuerzos para determinar el paradero del señor Narciso González Medina, de conformidad con lo establecido en los párrafos 288 a 291 del presente Fallo. </w:t>
      </w:r>
    </w:p>
    <w:p w:rsidR="00311925" w:rsidRPr="00311925" w:rsidRDefault="00311925" w:rsidP="00311925">
      <w:pPr>
        <w:pStyle w:val="ListParagraph0"/>
        <w:ind w:left="360" w:hanging="360"/>
        <w:rPr>
          <w:rFonts w:eastAsia="Times"/>
          <w:lang w:val="es-CR"/>
        </w:rPr>
      </w:pPr>
    </w:p>
    <w:p w:rsidR="00311925" w:rsidRPr="00311925" w:rsidRDefault="00311925" w:rsidP="00311925">
      <w:pPr>
        <w:pStyle w:val="ListParagraph0"/>
        <w:numPr>
          <w:ilvl w:val="0"/>
          <w:numId w:val="1"/>
        </w:numPr>
        <w:ind w:left="360" w:hanging="360"/>
        <w:jc w:val="both"/>
        <w:rPr>
          <w:lang w:val="es-CR"/>
        </w:rPr>
      </w:pPr>
      <w:r w:rsidRPr="00311925">
        <w:rPr>
          <w:rFonts w:eastAsia="Times"/>
          <w:lang w:val="es-CR"/>
        </w:rPr>
        <w:t>B</w:t>
      </w:r>
      <w:r w:rsidRPr="00311925">
        <w:rPr>
          <w:rFonts w:eastAsia="Times"/>
          <w:lang w:val="es-CR"/>
        </w:rPr>
        <w:t>rindar, de forma inmediata, el tratamiento médico y psicológico o psiquiátrico a las víctimas que así lo soliciten, de conformidad con lo establecido en el párrafo 293 de esta Sentencia.</w:t>
      </w:r>
    </w:p>
    <w:p w:rsidR="00311925" w:rsidRPr="00311925" w:rsidRDefault="00311925" w:rsidP="00311925">
      <w:pPr>
        <w:pStyle w:val="ListParagraph0"/>
        <w:ind w:left="360" w:hanging="360"/>
        <w:rPr>
          <w:lang w:val="es-CR"/>
        </w:rPr>
      </w:pPr>
    </w:p>
    <w:p w:rsidR="00311925" w:rsidRDefault="00311925" w:rsidP="00311925">
      <w:pPr>
        <w:pStyle w:val="ListParagraph0"/>
        <w:numPr>
          <w:ilvl w:val="0"/>
          <w:numId w:val="1"/>
        </w:numPr>
        <w:ind w:left="360" w:hanging="360"/>
        <w:jc w:val="both"/>
        <w:rPr>
          <w:lang w:val="es-CR"/>
        </w:rPr>
      </w:pPr>
      <w:r w:rsidRPr="00311925">
        <w:rPr>
          <w:lang w:val="es-CR"/>
        </w:rPr>
        <w:t>R</w:t>
      </w:r>
      <w:r w:rsidRPr="00311925">
        <w:rPr>
          <w:lang w:val="es-CR"/>
        </w:rPr>
        <w:t>ealizar las publicaciones indicadas en el párrafo 295 de la presente Sentencia, en el plazo de seis meses contado a partir de la notificación de la misma.</w:t>
      </w:r>
    </w:p>
    <w:p w:rsidR="00311925" w:rsidRPr="00311925" w:rsidRDefault="00311925" w:rsidP="00311925">
      <w:pPr>
        <w:pStyle w:val="ListParagraph0"/>
        <w:ind w:left="360" w:hanging="360"/>
        <w:rPr>
          <w:rFonts w:eastAsia="Times" w:cs="Verdana"/>
          <w:lang w:val="es-CR"/>
        </w:rPr>
      </w:pPr>
    </w:p>
    <w:p w:rsidR="00311925" w:rsidRPr="00311925" w:rsidRDefault="00311925" w:rsidP="00311925">
      <w:pPr>
        <w:pStyle w:val="ListParagraph0"/>
        <w:numPr>
          <w:ilvl w:val="0"/>
          <w:numId w:val="1"/>
        </w:numPr>
        <w:ind w:left="360" w:hanging="360"/>
        <w:jc w:val="both"/>
        <w:rPr>
          <w:lang w:val="es-CR"/>
        </w:rPr>
      </w:pPr>
      <w:r w:rsidRPr="00311925">
        <w:rPr>
          <w:rFonts w:eastAsia="Times" w:cs="Verdana"/>
          <w:lang w:val="es-CR"/>
        </w:rPr>
        <w:t>R</w:t>
      </w:r>
      <w:r w:rsidRPr="00311925">
        <w:rPr>
          <w:rFonts w:eastAsia="Times" w:cs="Verdana"/>
          <w:lang w:val="es-CR"/>
        </w:rPr>
        <w:t xml:space="preserve">ealizar un acto público de reconocimiento de responsabilidad internacional por los hechos del presente caso, </w:t>
      </w:r>
      <w:r w:rsidRPr="00311925">
        <w:rPr>
          <w:rFonts w:eastAsia="Times"/>
          <w:lang w:val="es-CR"/>
        </w:rPr>
        <w:t>de conformidad con lo establecido en el párrafo 297 de la presente Sentencia.</w:t>
      </w:r>
    </w:p>
    <w:p w:rsidR="00311925" w:rsidRPr="00311925" w:rsidRDefault="00311925" w:rsidP="00311925">
      <w:pPr>
        <w:pStyle w:val="ListParagraph0"/>
        <w:ind w:left="360" w:hanging="360"/>
        <w:rPr>
          <w:rFonts w:eastAsia="Times" w:cs="Verdana"/>
          <w:lang w:val="es-CR"/>
        </w:rPr>
      </w:pPr>
    </w:p>
    <w:p w:rsidR="00311925" w:rsidRPr="00311925" w:rsidRDefault="00311925" w:rsidP="00311925">
      <w:pPr>
        <w:pStyle w:val="ListParagraph0"/>
        <w:numPr>
          <w:ilvl w:val="0"/>
          <w:numId w:val="1"/>
        </w:numPr>
        <w:ind w:left="360" w:hanging="360"/>
        <w:jc w:val="both"/>
        <w:rPr>
          <w:lang w:val="es-CR"/>
        </w:rPr>
      </w:pPr>
      <w:r w:rsidRPr="00311925">
        <w:rPr>
          <w:rFonts w:eastAsia="Times" w:cs="Verdana"/>
          <w:lang w:val="es-CR"/>
        </w:rPr>
        <w:t>C</w:t>
      </w:r>
      <w:r w:rsidRPr="00311925">
        <w:rPr>
          <w:rFonts w:cs="Times"/>
          <w:lang w:val="es-CR"/>
        </w:rPr>
        <w:t xml:space="preserve">olocar una placa conmemorativa en el Centro Cultural Narciso González </w:t>
      </w:r>
      <w:r w:rsidRPr="00311925">
        <w:rPr>
          <w:lang w:val="es-CR"/>
        </w:rPr>
        <w:t>en la que se haga alusión a esta Sentencia, a los hechos del caso y a las circunstancias en que ocurrieron</w:t>
      </w:r>
      <w:r w:rsidRPr="00311925">
        <w:rPr>
          <w:rFonts w:eastAsia="Times" w:cs="Verdana"/>
          <w:lang w:val="es-CR"/>
        </w:rPr>
        <w:t xml:space="preserve">, </w:t>
      </w:r>
      <w:r w:rsidRPr="00311925">
        <w:rPr>
          <w:rFonts w:eastAsia="Times"/>
          <w:lang w:val="es-CR"/>
        </w:rPr>
        <w:t>en los términos de lo establecido en el párrafo 300 de esta Sentencia.</w:t>
      </w:r>
    </w:p>
    <w:p w:rsidR="00311925" w:rsidRPr="00311925" w:rsidRDefault="00311925" w:rsidP="00311925">
      <w:pPr>
        <w:pStyle w:val="ListParagraph0"/>
        <w:ind w:left="360" w:hanging="360"/>
        <w:rPr>
          <w:rFonts w:eastAsia="Times" w:cs="Verdana"/>
          <w:lang w:val="es-CR"/>
        </w:rPr>
      </w:pPr>
    </w:p>
    <w:p w:rsidR="00311925" w:rsidRPr="00311925" w:rsidRDefault="00311925" w:rsidP="00311925">
      <w:pPr>
        <w:pStyle w:val="ListParagraph0"/>
        <w:numPr>
          <w:ilvl w:val="0"/>
          <w:numId w:val="1"/>
        </w:numPr>
        <w:ind w:left="360" w:hanging="360"/>
        <w:jc w:val="both"/>
        <w:rPr>
          <w:lang w:val="es-CR"/>
        </w:rPr>
      </w:pPr>
      <w:r w:rsidRPr="00311925">
        <w:rPr>
          <w:rFonts w:eastAsia="Times" w:cs="Verdana"/>
          <w:lang w:val="es-CR"/>
        </w:rPr>
        <w:t>R</w:t>
      </w:r>
      <w:r w:rsidRPr="00311925">
        <w:rPr>
          <w:rFonts w:eastAsia="Times"/>
          <w:lang w:val="es-CR" w:eastAsia="es-MX"/>
        </w:rPr>
        <w:t>ealizar un</w:t>
      </w:r>
      <w:r w:rsidRPr="00311925">
        <w:rPr>
          <w:rFonts w:eastAsia="Times"/>
          <w:lang w:val="es-CR"/>
        </w:rPr>
        <w:t xml:space="preserve"> documental audiovisual sobre la vida </w:t>
      </w:r>
      <w:r w:rsidRPr="00311925">
        <w:rPr>
          <w:lang w:val="es-CR"/>
        </w:rPr>
        <w:t>del señor Narciso González Medina</w:t>
      </w:r>
      <w:r w:rsidRPr="00311925">
        <w:rPr>
          <w:rFonts w:eastAsia="Times"/>
          <w:lang w:val="es-CR"/>
        </w:rPr>
        <w:t xml:space="preserve">, </w:t>
      </w:r>
      <w:r w:rsidRPr="00311925">
        <w:rPr>
          <w:lang w:val="es-CR"/>
        </w:rPr>
        <w:t>en el que se haga referencia a su obra periodística, literaria y creativa, así como su contribución a la cultura dominicana</w:t>
      </w:r>
      <w:r w:rsidRPr="00311925">
        <w:rPr>
          <w:rFonts w:eastAsia="Times"/>
          <w:lang w:val="es-CR"/>
        </w:rPr>
        <w:t>, de conformidad con lo establecido en los párrafos 302 y 303 de la presente Sentencia.</w:t>
      </w:r>
    </w:p>
    <w:p w:rsidR="00311925" w:rsidRPr="00311925" w:rsidRDefault="00311925" w:rsidP="00311925">
      <w:pPr>
        <w:pStyle w:val="ListParagraph0"/>
        <w:ind w:left="360" w:hanging="360"/>
        <w:rPr>
          <w:rFonts w:cs="Verdana"/>
          <w:lang w:val="es-CR" w:bidi="en-US"/>
        </w:rPr>
      </w:pPr>
    </w:p>
    <w:p w:rsidR="00311925" w:rsidRPr="00311925" w:rsidRDefault="00311925" w:rsidP="00311925">
      <w:pPr>
        <w:pStyle w:val="ListParagraph0"/>
        <w:numPr>
          <w:ilvl w:val="0"/>
          <w:numId w:val="1"/>
        </w:numPr>
        <w:ind w:left="360" w:hanging="360"/>
        <w:jc w:val="both"/>
        <w:rPr>
          <w:lang w:val="es-CR"/>
        </w:rPr>
      </w:pPr>
      <w:r>
        <w:rPr>
          <w:rFonts w:cs="Verdana"/>
          <w:lang w:val="es-CR" w:bidi="en-US"/>
        </w:rPr>
        <w:t>G</w:t>
      </w:r>
      <w:r w:rsidRPr="00311925">
        <w:rPr>
          <w:rFonts w:cs="Times"/>
          <w:lang w:val="es-CR"/>
        </w:rPr>
        <w:t>arantizar que la aplicación de las normas de su derecho interno y el funcionamiento de sus instituciones permitan realizar una investigación adecuada de la desaparición forzada y, en caso de que éstas sean insuficientes, realizar las reformas legislativas o adoptar las medidas administrativas, judiciales u otras que sean necesarias para alcanzar dicho objetivo, en los términos del párrafo 306 del presente Fallo.</w:t>
      </w:r>
    </w:p>
    <w:p w:rsidR="00311925" w:rsidRPr="00311925" w:rsidRDefault="00311925" w:rsidP="00311925">
      <w:pPr>
        <w:pStyle w:val="ListParagraph0"/>
        <w:ind w:left="360" w:hanging="360"/>
        <w:rPr>
          <w:lang w:val="es-CR"/>
        </w:rPr>
      </w:pPr>
    </w:p>
    <w:p w:rsidR="00311925" w:rsidRPr="00311925" w:rsidRDefault="00311925" w:rsidP="00311925">
      <w:pPr>
        <w:pStyle w:val="ListParagraph0"/>
        <w:numPr>
          <w:ilvl w:val="0"/>
          <w:numId w:val="1"/>
        </w:numPr>
        <w:ind w:left="360" w:hanging="360"/>
        <w:jc w:val="both"/>
        <w:rPr>
          <w:lang w:val="es-CR"/>
        </w:rPr>
      </w:pPr>
      <w:r w:rsidRPr="00311925">
        <w:rPr>
          <w:lang w:val="es-CR"/>
        </w:rPr>
        <w:t>P</w:t>
      </w:r>
      <w:r w:rsidRPr="00311925">
        <w:rPr>
          <w:lang w:val="es-CR"/>
        </w:rPr>
        <w:t xml:space="preserve">agar las cantidades fijadas en los párrafos 313, 314, 320 y 329 de la presente Sentencia, por concepto de indemnizaciones por daños materiales e inmateriales, y por el reintegro de costas y gastos, en los términos de los referidos párrafos, así como reintegrar </w:t>
      </w:r>
      <w:r w:rsidRPr="00311925">
        <w:rPr>
          <w:rFonts w:eastAsia="Calibri" w:cs="Verdana"/>
          <w:lang w:val="es-CR"/>
        </w:rPr>
        <w:t>al Fondo de Asistencia Legal de Víctimas la cantidad establecida en el párrafo 332 de la presente Sentencia.</w:t>
      </w:r>
    </w:p>
    <w:p w:rsidR="00311925" w:rsidRPr="00311925" w:rsidRDefault="00311925">
      <w:pPr>
        <w:rPr>
          <w:lang w:val="es-CR"/>
        </w:rPr>
      </w:pPr>
    </w:p>
    <w:sectPr w:rsidR="00311925" w:rsidRPr="003119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25" w:rsidRDefault="00311925" w:rsidP="00311925">
      <w:r>
        <w:separator/>
      </w:r>
    </w:p>
  </w:endnote>
  <w:endnote w:type="continuationSeparator" w:id="0">
    <w:p w:rsidR="00311925" w:rsidRDefault="00311925" w:rsidP="0031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5" w:rsidRPr="009B7426" w:rsidRDefault="00311925" w:rsidP="00311925">
    <w:pPr>
      <w:jc w:val="both"/>
      <w:rPr>
        <w:rFonts w:eastAsia="Times"/>
        <w:bCs/>
        <w:sz w:val="16"/>
        <w:szCs w:val="16"/>
        <w:lang w:val="es-MX"/>
      </w:rPr>
    </w:pPr>
    <w:r w:rsidRPr="009B7426">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311925" w:rsidRPr="00311925" w:rsidRDefault="00311925">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25" w:rsidRDefault="00311925" w:rsidP="00311925">
      <w:r>
        <w:separator/>
      </w:r>
    </w:p>
  </w:footnote>
  <w:footnote w:type="continuationSeparator" w:id="0">
    <w:p w:rsidR="00311925" w:rsidRDefault="00311925" w:rsidP="0031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79550"/>
      <w:docPartObj>
        <w:docPartGallery w:val="Page Numbers (Top of Page)"/>
        <w:docPartUnique/>
      </w:docPartObj>
    </w:sdtPr>
    <w:sdtEndPr>
      <w:rPr>
        <w:noProof/>
      </w:rPr>
    </w:sdtEndPr>
    <w:sdtContent>
      <w:p w:rsidR="00311925" w:rsidRDefault="0031192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311925" w:rsidRDefault="00311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8481C"/>
    <w:multiLevelType w:val="hybridMultilevel"/>
    <w:tmpl w:val="8550E8EA"/>
    <w:lvl w:ilvl="0" w:tplc="E8CEC910">
      <w:start w:val="1"/>
      <w:numFmt w:val="decimal"/>
      <w:lvlText w:val="%1."/>
      <w:lvlJc w:val="left"/>
      <w:pPr>
        <w:ind w:left="1080" w:hanging="720"/>
      </w:pPr>
      <w:rPr>
        <w:rFonts w:hint="default"/>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25"/>
    <w:rsid w:val="00311925"/>
    <w:rsid w:val="003A7E5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25"/>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925"/>
    <w:pPr>
      <w:tabs>
        <w:tab w:val="center" w:pos="4680"/>
        <w:tab w:val="right" w:pos="9360"/>
      </w:tabs>
    </w:pPr>
  </w:style>
  <w:style w:type="character" w:customStyle="1" w:styleId="HeaderChar">
    <w:name w:val="Header Char"/>
    <w:basedOn w:val="DefaultParagraphFont"/>
    <w:link w:val="Header"/>
    <w:uiPriority w:val="99"/>
    <w:rsid w:val="00311925"/>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311925"/>
    <w:pPr>
      <w:tabs>
        <w:tab w:val="center" w:pos="4680"/>
        <w:tab w:val="right" w:pos="9360"/>
      </w:tabs>
    </w:pPr>
  </w:style>
  <w:style w:type="character" w:customStyle="1" w:styleId="FooterChar">
    <w:name w:val="Footer Char"/>
    <w:basedOn w:val="DefaultParagraphFont"/>
    <w:link w:val="Footer"/>
    <w:uiPriority w:val="99"/>
    <w:rsid w:val="00311925"/>
    <w:rPr>
      <w:rFonts w:ascii="Verdana" w:eastAsia="Times New Roman" w:hAnsi="Verdana" w:cs="Times New Roman"/>
      <w:sz w:val="20"/>
      <w:szCs w:val="20"/>
      <w:lang w:val="es-ES_tradnl"/>
    </w:rPr>
  </w:style>
  <w:style w:type="paragraph" w:customStyle="1" w:styleId="ListParagraph">
    <w:name w:val="List Paragraph"/>
    <w:aliases w:val="Footnote"/>
    <w:basedOn w:val="Normal"/>
    <w:qFormat/>
    <w:rsid w:val="00311925"/>
    <w:pPr>
      <w:ind w:left="720"/>
    </w:pPr>
  </w:style>
  <w:style w:type="paragraph" w:styleId="ListParagraph0">
    <w:name w:val="List Paragraph"/>
    <w:basedOn w:val="Normal"/>
    <w:uiPriority w:val="34"/>
    <w:qFormat/>
    <w:rsid w:val="00311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25"/>
    <w:pPr>
      <w:spacing w:after="0" w:line="240" w:lineRule="auto"/>
    </w:pPr>
    <w:rPr>
      <w:rFonts w:ascii="Verdana" w:eastAsia="Times New Roman"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925"/>
    <w:pPr>
      <w:tabs>
        <w:tab w:val="center" w:pos="4680"/>
        <w:tab w:val="right" w:pos="9360"/>
      </w:tabs>
    </w:pPr>
  </w:style>
  <w:style w:type="character" w:customStyle="1" w:styleId="HeaderChar">
    <w:name w:val="Header Char"/>
    <w:basedOn w:val="DefaultParagraphFont"/>
    <w:link w:val="Header"/>
    <w:uiPriority w:val="99"/>
    <w:rsid w:val="00311925"/>
    <w:rPr>
      <w:rFonts w:ascii="Verdana" w:eastAsia="Times New Roman" w:hAnsi="Verdana" w:cs="Times New Roman"/>
      <w:sz w:val="20"/>
      <w:szCs w:val="20"/>
      <w:lang w:val="es-ES_tradnl"/>
    </w:rPr>
  </w:style>
  <w:style w:type="paragraph" w:styleId="Footer">
    <w:name w:val="footer"/>
    <w:basedOn w:val="Normal"/>
    <w:link w:val="FooterChar"/>
    <w:uiPriority w:val="99"/>
    <w:unhideWhenUsed/>
    <w:rsid w:val="00311925"/>
    <w:pPr>
      <w:tabs>
        <w:tab w:val="center" w:pos="4680"/>
        <w:tab w:val="right" w:pos="9360"/>
      </w:tabs>
    </w:pPr>
  </w:style>
  <w:style w:type="character" w:customStyle="1" w:styleId="FooterChar">
    <w:name w:val="Footer Char"/>
    <w:basedOn w:val="DefaultParagraphFont"/>
    <w:link w:val="Footer"/>
    <w:uiPriority w:val="99"/>
    <w:rsid w:val="00311925"/>
    <w:rPr>
      <w:rFonts w:ascii="Verdana" w:eastAsia="Times New Roman" w:hAnsi="Verdana" w:cs="Times New Roman"/>
      <w:sz w:val="20"/>
      <w:szCs w:val="20"/>
      <w:lang w:val="es-ES_tradnl"/>
    </w:rPr>
  </w:style>
  <w:style w:type="paragraph" w:customStyle="1" w:styleId="ListParagraph">
    <w:name w:val="List Paragraph"/>
    <w:aliases w:val="Footnote"/>
    <w:basedOn w:val="Normal"/>
    <w:qFormat/>
    <w:rsid w:val="00311925"/>
    <w:pPr>
      <w:ind w:left="720"/>
    </w:pPr>
  </w:style>
  <w:style w:type="paragraph" w:styleId="ListParagraph0">
    <w:name w:val="List Paragraph"/>
    <w:basedOn w:val="Normal"/>
    <w:uiPriority w:val="34"/>
    <w:qFormat/>
    <w:rsid w:val="00311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2016-11-16T20:19:00Z</dcterms:created>
  <dcterms:modified xsi:type="dcterms:W3CDTF">2016-11-16T20:22:00Z</dcterms:modified>
</cp:coreProperties>
</file>