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FA" w:rsidRPr="00F672FA" w:rsidRDefault="00F672FA" w:rsidP="00F672FA">
      <w:pPr>
        <w:tabs>
          <w:tab w:val="left" w:pos="567"/>
          <w:tab w:val="left" w:pos="1134"/>
        </w:tabs>
        <w:jc w:val="center"/>
        <w:rPr>
          <w:b/>
          <w:szCs w:val="20"/>
          <w:u w:val="single"/>
        </w:rPr>
      </w:pPr>
      <w:r w:rsidRPr="00F672FA">
        <w:rPr>
          <w:b/>
          <w:szCs w:val="20"/>
          <w:u w:val="single"/>
        </w:rPr>
        <w:t xml:space="preserve">Caso </w:t>
      </w:r>
      <w:proofErr w:type="spellStart"/>
      <w:r w:rsidRPr="00F672FA">
        <w:rPr>
          <w:b/>
          <w:szCs w:val="20"/>
          <w:u w:val="single"/>
        </w:rPr>
        <w:t>Nadege</w:t>
      </w:r>
      <w:proofErr w:type="spellEnd"/>
      <w:r w:rsidRPr="00F672FA">
        <w:rPr>
          <w:b/>
          <w:szCs w:val="20"/>
          <w:u w:val="single"/>
        </w:rPr>
        <w:t xml:space="preserve"> </w:t>
      </w:r>
      <w:proofErr w:type="spellStart"/>
      <w:r w:rsidRPr="00F672FA">
        <w:rPr>
          <w:b/>
          <w:szCs w:val="20"/>
          <w:u w:val="single"/>
        </w:rPr>
        <w:t>Dorzema</w:t>
      </w:r>
      <w:proofErr w:type="spellEnd"/>
      <w:r w:rsidRPr="00F672FA">
        <w:rPr>
          <w:b/>
          <w:szCs w:val="20"/>
          <w:u w:val="single"/>
        </w:rPr>
        <w:t xml:space="preserve"> y otros </w:t>
      </w:r>
      <w:r w:rsidRPr="00F672FA">
        <w:rPr>
          <w:b/>
          <w:i/>
          <w:szCs w:val="20"/>
          <w:u w:val="single"/>
        </w:rPr>
        <w:t>Vs.</w:t>
      </w:r>
      <w:r w:rsidRPr="00F672FA">
        <w:rPr>
          <w:b/>
          <w:szCs w:val="20"/>
          <w:u w:val="single"/>
        </w:rPr>
        <w:t xml:space="preserve"> República Dominicana: reparaciones pendientes de cumplimiento</w:t>
      </w:r>
    </w:p>
    <w:p w:rsidR="00F672FA" w:rsidRDefault="00F672FA" w:rsidP="00F672FA">
      <w:pPr>
        <w:tabs>
          <w:tab w:val="left" w:pos="540"/>
        </w:tabs>
        <w:rPr>
          <w:szCs w:val="20"/>
        </w:rPr>
      </w:pPr>
    </w:p>
    <w:p w:rsidR="00F672FA" w:rsidRPr="00F672FA" w:rsidRDefault="00F672FA" w:rsidP="00F672FA">
      <w:pPr>
        <w:tabs>
          <w:tab w:val="left" w:pos="540"/>
        </w:tabs>
        <w:rPr>
          <w:szCs w:val="20"/>
        </w:rPr>
      </w:pPr>
      <w:bookmarkStart w:id="0" w:name="_GoBack"/>
      <w:bookmarkEnd w:id="0"/>
    </w:p>
    <w:p w:rsidR="00F672FA" w:rsidRPr="00F672FA" w:rsidRDefault="00F672FA" w:rsidP="00F672FA">
      <w:pPr>
        <w:pStyle w:val="ListParagraph"/>
        <w:numPr>
          <w:ilvl w:val="0"/>
          <w:numId w:val="1"/>
        </w:numPr>
        <w:tabs>
          <w:tab w:val="left" w:pos="540"/>
        </w:tabs>
        <w:ind w:left="360" w:hanging="360"/>
        <w:jc w:val="both"/>
        <w:rPr>
          <w:sz w:val="20"/>
          <w:szCs w:val="20"/>
          <w:lang w:val="es-CR"/>
        </w:rPr>
      </w:pPr>
      <w:r w:rsidRPr="00F672FA">
        <w:rPr>
          <w:sz w:val="20"/>
          <w:szCs w:val="20"/>
        </w:rPr>
        <w:t>R</w:t>
      </w:r>
      <w:r w:rsidRPr="00F672FA">
        <w:rPr>
          <w:sz w:val="20"/>
          <w:szCs w:val="20"/>
        </w:rPr>
        <w:t>eabrir la investigación de los hechos del caso, a fin de individualizar, juzgar y, en su caso, sancionar a todos los responsables de tales hechos, en los términos de los párrafos 248 y 249 de la presente Sentencia.</w:t>
      </w:r>
    </w:p>
    <w:p w:rsidR="00F672FA" w:rsidRPr="00F672FA" w:rsidRDefault="00F672FA" w:rsidP="00F672FA">
      <w:pPr>
        <w:pStyle w:val="ListParagraph"/>
        <w:tabs>
          <w:tab w:val="left" w:pos="540"/>
        </w:tabs>
        <w:ind w:left="1080"/>
        <w:jc w:val="both"/>
        <w:rPr>
          <w:sz w:val="20"/>
          <w:szCs w:val="20"/>
          <w:lang w:val="es-CR"/>
        </w:rPr>
      </w:pPr>
    </w:p>
    <w:p w:rsidR="00F672FA" w:rsidRPr="00F672FA" w:rsidRDefault="00F672FA" w:rsidP="00F672FA">
      <w:pPr>
        <w:pStyle w:val="ListParagraph"/>
        <w:numPr>
          <w:ilvl w:val="0"/>
          <w:numId w:val="1"/>
        </w:numPr>
        <w:tabs>
          <w:tab w:val="left" w:pos="540"/>
        </w:tabs>
        <w:ind w:left="360" w:hanging="360"/>
        <w:jc w:val="both"/>
        <w:rPr>
          <w:sz w:val="20"/>
          <w:szCs w:val="20"/>
          <w:lang w:val="es-CR"/>
        </w:rPr>
      </w:pPr>
      <w:r w:rsidRPr="00F672FA">
        <w:rPr>
          <w:sz w:val="20"/>
          <w:szCs w:val="20"/>
          <w:lang w:val="es-CR"/>
        </w:rPr>
        <w:t>D</w:t>
      </w:r>
      <w:r w:rsidRPr="00F672FA">
        <w:rPr>
          <w:sz w:val="20"/>
          <w:szCs w:val="20"/>
        </w:rPr>
        <w:t>eterminar el paradero de los cuerpos de las personas fallecidas, repatriarlos y entregárselos a sus familiares, en el plazo de un a</w:t>
      </w:r>
      <w:r w:rsidRPr="00F672FA">
        <w:rPr>
          <w:rFonts w:cs="Arial"/>
          <w:sz w:val="20"/>
          <w:szCs w:val="20"/>
        </w:rPr>
        <w:t>ño</w:t>
      </w:r>
      <w:r w:rsidRPr="00F672FA">
        <w:rPr>
          <w:sz w:val="20"/>
          <w:szCs w:val="20"/>
        </w:rPr>
        <w:t xml:space="preserve"> a partir de la notificación de la Sentencia, en los términos de los párrafos 252 y 253 de la presente Sentencia.</w:t>
      </w:r>
    </w:p>
    <w:p w:rsidR="00F672FA" w:rsidRPr="00F672FA" w:rsidRDefault="00F672FA" w:rsidP="00F672FA">
      <w:pPr>
        <w:pStyle w:val="ListParagraph"/>
        <w:rPr>
          <w:rStyle w:val="apple-style-span"/>
          <w:sz w:val="20"/>
          <w:szCs w:val="20"/>
          <w:lang w:val="es-CR"/>
        </w:rPr>
      </w:pPr>
    </w:p>
    <w:p w:rsidR="00F672FA" w:rsidRPr="00F672FA" w:rsidRDefault="00F672FA" w:rsidP="00F672FA">
      <w:pPr>
        <w:pStyle w:val="ListParagraph"/>
        <w:numPr>
          <w:ilvl w:val="0"/>
          <w:numId w:val="1"/>
        </w:numPr>
        <w:tabs>
          <w:tab w:val="left" w:pos="540"/>
        </w:tabs>
        <w:ind w:left="360" w:hanging="360"/>
        <w:jc w:val="both"/>
        <w:rPr>
          <w:sz w:val="20"/>
          <w:szCs w:val="20"/>
          <w:lang w:val="es-CR"/>
        </w:rPr>
      </w:pPr>
      <w:r w:rsidRPr="00F672FA">
        <w:rPr>
          <w:sz w:val="20"/>
          <w:szCs w:val="20"/>
        </w:rPr>
        <w:t>B</w:t>
      </w:r>
      <w:r w:rsidRPr="00F672FA">
        <w:rPr>
          <w:sz w:val="20"/>
          <w:szCs w:val="20"/>
        </w:rPr>
        <w:t>rindar el tratamiento médico y psicológico que requieran las víctimas, de forma inmediata y por el tiempo que sea necesario, en los términos de los párrafos 258 a 261 de la presente Sentencia.</w:t>
      </w:r>
    </w:p>
    <w:p w:rsidR="00F672FA" w:rsidRPr="00F672FA" w:rsidRDefault="00F672FA" w:rsidP="00F672FA">
      <w:pPr>
        <w:pStyle w:val="ListParagraph"/>
        <w:ind w:left="360" w:hanging="360"/>
        <w:rPr>
          <w:rStyle w:val="apple-style-span"/>
          <w:sz w:val="20"/>
          <w:szCs w:val="20"/>
          <w:lang w:val="es-CR"/>
        </w:rPr>
      </w:pPr>
    </w:p>
    <w:p w:rsidR="00F672FA" w:rsidRPr="00F672FA" w:rsidRDefault="00F672FA" w:rsidP="00F672FA">
      <w:pPr>
        <w:pStyle w:val="ListParagraph"/>
        <w:numPr>
          <w:ilvl w:val="0"/>
          <w:numId w:val="1"/>
        </w:numPr>
        <w:tabs>
          <w:tab w:val="left" w:pos="540"/>
        </w:tabs>
        <w:ind w:left="360" w:hanging="360"/>
        <w:jc w:val="both"/>
        <w:rPr>
          <w:rStyle w:val="apple-style-span"/>
          <w:sz w:val="20"/>
          <w:szCs w:val="20"/>
          <w:lang w:val="es-CR"/>
        </w:rPr>
      </w:pPr>
      <w:r w:rsidRPr="00F672FA">
        <w:rPr>
          <w:rStyle w:val="apple-style-span"/>
          <w:sz w:val="20"/>
          <w:szCs w:val="20"/>
          <w:lang w:val="es-CR"/>
        </w:rPr>
        <w:t>R</w:t>
      </w:r>
      <w:r w:rsidRPr="00F672FA">
        <w:rPr>
          <w:rStyle w:val="apple-style-span"/>
          <w:sz w:val="20"/>
          <w:szCs w:val="20"/>
          <w:lang w:val="es-CR"/>
        </w:rPr>
        <w:t xml:space="preserve">ealizar las publicaciones que se indican en el párrafo 263 del presente Fallo, en el plazo de seis meses contado a partir de la notificación de la Sentencia. </w:t>
      </w:r>
    </w:p>
    <w:p w:rsidR="00F672FA" w:rsidRPr="00F672FA" w:rsidRDefault="00F672FA" w:rsidP="00F672FA">
      <w:pPr>
        <w:pStyle w:val="ListParagraph"/>
        <w:ind w:left="360" w:hanging="360"/>
        <w:rPr>
          <w:rStyle w:val="apple-style-span"/>
          <w:sz w:val="20"/>
          <w:szCs w:val="20"/>
          <w:lang w:val="es-CR"/>
        </w:rPr>
      </w:pPr>
    </w:p>
    <w:p w:rsidR="00F672FA" w:rsidRPr="00F672FA" w:rsidRDefault="00F672FA" w:rsidP="00F672FA">
      <w:pPr>
        <w:pStyle w:val="ListParagraph"/>
        <w:numPr>
          <w:ilvl w:val="0"/>
          <w:numId w:val="1"/>
        </w:numPr>
        <w:tabs>
          <w:tab w:val="left" w:pos="540"/>
        </w:tabs>
        <w:ind w:left="360" w:hanging="360"/>
        <w:jc w:val="both"/>
        <w:rPr>
          <w:rStyle w:val="apple-style-span"/>
          <w:sz w:val="20"/>
          <w:szCs w:val="20"/>
          <w:lang w:val="es-CR"/>
        </w:rPr>
      </w:pPr>
      <w:r w:rsidRPr="00F672FA">
        <w:rPr>
          <w:rStyle w:val="apple-style-span"/>
          <w:sz w:val="20"/>
          <w:szCs w:val="20"/>
          <w:lang w:val="es-CR"/>
        </w:rPr>
        <w:t>R</w:t>
      </w:r>
      <w:r w:rsidRPr="00F672FA">
        <w:rPr>
          <w:rStyle w:val="apple-style-span"/>
          <w:sz w:val="20"/>
          <w:szCs w:val="20"/>
          <w:lang w:val="es-CR"/>
        </w:rPr>
        <w:t>ealizar un acto público de reconocimiento de responsabilidad internacional y disculpas p</w:t>
      </w:r>
      <w:r w:rsidRPr="00F672FA">
        <w:rPr>
          <w:rStyle w:val="apple-style-span"/>
          <w:rFonts w:cs="Arial"/>
          <w:sz w:val="20"/>
          <w:szCs w:val="20"/>
          <w:lang w:val="es-CR"/>
        </w:rPr>
        <w:t>úblicas</w:t>
      </w:r>
      <w:r w:rsidRPr="00F672FA">
        <w:rPr>
          <w:rStyle w:val="apple-style-span"/>
          <w:sz w:val="20"/>
          <w:szCs w:val="20"/>
          <w:lang w:val="es-CR"/>
        </w:rPr>
        <w:t xml:space="preserve">, en el plazo de seis meses contado a partir de la notificación de la Sentencia, en los términos del párrafo 265 de la presente Sentencia. </w:t>
      </w:r>
    </w:p>
    <w:p w:rsidR="00F672FA" w:rsidRPr="00F672FA" w:rsidRDefault="00F672FA" w:rsidP="00F672FA">
      <w:pPr>
        <w:pStyle w:val="ListParagraph"/>
        <w:ind w:left="360" w:hanging="360"/>
        <w:rPr>
          <w:rStyle w:val="apple-style-span"/>
          <w:sz w:val="20"/>
          <w:szCs w:val="20"/>
          <w:lang w:val="es-CR"/>
        </w:rPr>
      </w:pPr>
    </w:p>
    <w:p w:rsidR="00F672FA" w:rsidRPr="00F672FA" w:rsidRDefault="00F672FA" w:rsidP="00F672FA">
      <w:pPr>
        <w:pStyle w:val="ListParagraph"/>
        <w:numPr>
          <w:ilvl w:val="0"/>
          <w:numId w:val="1"/>
        </w:numPr>
        <w:tabs>
          <w:tab w:val="left" w:pos="540"/>
        </w:tabs>
        <w:ind w:left="360" w:hanging="360"/>
        <w:jc w:val="both"/>
        <w:rPr>
          <w:rStyle w:val="apple-style-span"/>
          <w:sz w:val="20"/>
          <w:szCs w:val="20"/>
          <w:lang w:val="es-CR"/>
        </w:rPr>
      </w:pPr>
      <w:r w:rsidRPr="00F672FA">
        <w:rPr>
          <w:rStyle w:val="apple-style-span"/>
          <w:sz w:val="20"/>
          <w:szCs w:val="20"/>
          <w:lang w:val="es-CR"/>
        </w:rPr>
        <w:t>I</w:t>
      </w:r>
      <w:r w:rsidRPr="00F672FA">
        <w:rPr>
          <w:rStyle w:val="apple-style-span"/>
          <w:sz w:val="20"/>
          <w:szCs w:val="20"/>
          <w:lang w:val="es-CR"/>
        </w:rPr>
        <w:t>mplementar los programas de capacitación dispuestos en el párrafo 269 del presente Fallo, destinado a funcionarios de las Fuerzas Armadas, agentes de control fronterizo y agentes encargados de procedimientos migratorios, de forma permanente y en los términos del párrafo 270 de la presente Sentencia. A tal efecto, el Estado deberá presentar un informe anual durante tres años consecutivos, en el que indique las acciones que se han realizado con tal fin.</w:t>
      </w:r>
    </w:p>
    <w:p w:rsidR="00F672FA" w:rsidRPr="00F672FA" w:rsidRDefault="00F672FA" w:rsidP="00F672FA">
      <w:pPr>
        <w:pStyle w:val="ListParagraph"/>
        <w:ind w:left="360" w:hanging="360"/>
        <w:rPr>
          <w:rStyle w:val="apple-style-span"/>
          <w:sz w:val="20"/>
          <w:szCs w:val="20"/>
          <w:lang w:val="es-CR"/>
        </w:rPr>
      </w:pPr>
    </w:p>
    <w:p w:rsidR="00F672FA" w:rsidRPr="00F672FA" w:rsidRDefault="00F672FA" w:rsidP="00F672FA">
      <w:pPr>
        <w:pStyle w:val="ListParagraph"/>
        <w:numPr>
          <w:ilvl w:val="0"/>
          <w:numId w:val="1"/>
        </w:numPr>
        <w:tabs>
          <w:tab w:val="left" w:pos="540"/>
        </w:tabs>
        <w:ind w:left="360" w:hanging="360"/>
        <w:jc w:val="both"/>
        <w:rPr>
          <w:rStyle w:val="apple-style-span"/>
          <w:sz w:val="20"/>
          <w:szCs w:val="20"/>
          <w:lang w:val="es-CR"/>
        </w:rPr>
      </w:pPr>
      <w:r w:rsidRPr="00F672FA">
        <w:rPr>
          <w:rStyle w:val="apple-style-span"/>
          <w:sz w:val="20"/>
          <w:szCs w:val="20"/>
          <w:lang w:val="es-CR"/>
        </w:rPr>
        <w:t>R</w:t>
      </w:r>
      <w:r w:rsidRPr="00F672FA">
        <w:rPr>
          <w:rStyle w:val="apple-style-span"/>
          <w:sz w:val="20"/>
          <w:szCs w:val="20"/>
          <w:lang w:val="es-CR"/>
        </w:rPr>
        <w:t>ealizar una campaña en medios de comunicación sobre los derechos de las personas migrantes regulares e irregulares, en el territorio dominicano. A tal efecto, el Estado deberá presentar un informe anual durante tres años consecutivos, en el que indique las acciones que se han realizado con tal fin, en los términos del párrafo 272 de la presente Sentencia.</w:t>
      </w:r>
    </w:p>
    <w:p w:rsidR="00F672FA" w:rsidRPr="00F672FA" w:rsidRDefault="00F672FA" w:rsidP="00F672FA">
      <w:pPr>
        <w:pStyle w:val="ListParagraph"/>
        <w:ind w:left="360" w:hanging="360"/>
        <w:rPr>
          <w:rStyle w:val="apple-style-span"/>
          <w:sz w:val="20"/>
          <w:szCs w:val="20"/>
          <w:lang w:val="es-CR"/>
        </w:rPr>
      </w:pPr>
    </w:p>
    <w:p w:rsidR="00F672FA" w:rsidRPr="00F672FA" w:rsidRDefault="00F672FA" w:rsidP="00F672FA">
      <w:pPr>
        <w:pStyle w:val="ListParagraph"/>
        <w:numPr>
          <w:ilvl w:val="0"/>
          <w:numId w:val="1"/>
        </w:numPr>
        <w:tabs>
          <w:tab w:val="left" w:pos="540"/>
        </w:tabs>
        <w:ind w:left="360" w:hanging="360"/>
        <w:jc w:val="both"/>
        <w:rPr>
          <w:rStyle w:val="apple-style-span"/>
          <w:sz w:val="20"/>
          <w:szCs w:val="20"/>
          <w:lang w:val="es-CR"/>
        </w:rPr>
      </w:pPr>
      <w:r w:rsidRPr="00F672FA">
        <w:rPr>
          <w:rStyle w:val="apple-style-span"/>
          <w:sz w:val="20"/>
          <w:szCs w:val="20"/>
          <w:lang w:val="es-CR"/>
        </w:rPr>
        <w:t>A</w:t>
      </w:r>
      <w:r w:rsidRPr="00F672FA">
        <w:rPr>
          <w:rStyle w:val="apple-style-span"/>
          <w:sz w:val="20"/>
          <w:szCs w:val="20"/>
          <w:lang w:val="es-CR"/>
        </w:rPr>
        <w:t xml:space="preserve">decuar su legislación interna sobre el uso de la fuerza por los funcionarios encargados de aplicar la ley en los términos de los párrafos 274 y 275 de la presente Sentencia. </w:t>
      </w:r>
    </w:p>
    <w:p w:rsidR="00F672FA" w:rsidRPr="00F672FA" w:rsidRDefault="00F672FA" w:rsidP="00F672FA">
      <w:pPr>
        <w:pStyle w:val="ListParagraph"/>
        <w:ind w:left="360" w:hanging="360"/>
        <w:rPr>
          <w:rFonts w:cs="Verdana"/>
          <w:sz w:val="20"/>
          <w:szCs w:val="20"/>
        </w:rPr>
      </w:pPr>
    </w:p>
    <w:p w:rsidR="00F672FA" w:rsidRPr="00F672FA" w:rsidRDefault="00F672FA" w:rsidP="00F672FA">
      <w:pPr>
        <w:pStyle w:val="ListParagraph"/>
        <w:numPr>
          <w:ilvl w:val="0"/>
          <w:numId w:val="1"/>
        </w:numPr>
        <w:tabs>
          <w:tab w:val="left" w:pos="540"/>
        </w:tabs>
        <w:ind w:left="360" w:hanging="360"/>
        <w:jc w:val="both"/>
        <w:rPr>
          <w:rStyle w:val="apple-style-span"/>
          <w:sz w:val="20"/>
          <w:szCs w:val="20"/>
          <w:lang w:val="es-CR"/>
        </w:rPr>
      </w:pPr>
      <w:r w:rsidRPr="00F672FA">
        <w:rPr>
          <w:rFonts w:cs="Verdana"/>
          <w:sz w:val="20"/>
          <w:szCs w:val="20"/>
        </w:rPr>
        <w:t>P</w:t>
      </w:r>
      <w:r w:rsidRPr="00F672FA">
        <w:rPr>
          <w:rFonts w:cs="Verdana"/>
          <w:sz w:val="20"/>
          <w:szCs w:val="20"/>
        </w:rPr>
        <w:t xml:space="preserve">agar las cantidades fijadas en los párrafos 284, 285, 288, 297 y 301 de la presente Sentencia por concepto de indemnizaciones por daño material e inmaterial, por reintegro de costas y gastos, así como por reintegro al Fondo de Asistencia Legal de Víctimas, en los términos de los párrafos 283 a 306 de la presente Sentencia, en el plazo de un año contado a partir de la notificación de la misma. </w:t>
      </w:r>
    </w:p>
    <w:p w:rsidR="00F672FA" w:rsidRPr="00F672FA" w:rsidRDefault="00F672FA">
      <w:pPr>
        <w:rPr>
          <w:lang w:val="es-CR"/>
        </w:rPr>
      </w:pPr>
    </w:p>
    <w:sectPr w:rsidR="00F672FA" w:rsidRPr="00F672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FA" w:rsidRDefault="00F672FA" w:rsidP="00F672FA">
      <w:r>
        <w:separator/>
      </w:r>
    </w:p>
  </w:endnote>
  <w:endnote w:type="continuationSeparator" w:id="0">
    <w:p w:rsidR="00F672FA" w:rsidRDefault="00F672FA" w:rsidP="00F6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FA" w:rsidRPr="009B7426" w:rsidRDefault="00F672FA" w:rsidP="00F672FA">
    <w:pPr>
      <w:rPr>
        <w:rFonts w:eastAsia="Times"/>
        <w:bCs/>
        <w:sz w:val="16"/>
        <w:szCs w:val="16"/>
        <w:lang w:val="es-MX"/>
      </w:rPr>
    </w:pPr>
    <w:r w:rsidRPr="009B7426">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F672FA" w:rsidRPr="00F672FA" w:rsidRDefault="00F672FA">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FA" w:rsidRDefault="00F672FA" w:rsidP="00F672FA">
      <w:r>
        <w:separator/>
      </w:r>
    </w:p>
  </w:footnote>
  <w:footnote w:type="continuationSeparator" w:id="0">
    <w:p w:rsidR="00F672FA" w:rsidRDefault="00F672FA" w:rsidP="00F6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39888"/>
      <w:docPartObj>
        <w:docPartGallery w:val="Page Numbers (Top of Page)"/>
        <w:docPartUnique/>
      </w:docPartObj>
    </w:sdtPr>
    <w:sdtEndPr>
      <w:rPr>
        <w:noProof/>
      </w:rPr>
    </w:sdtEndPr>
    <w:sdtContent>
      <w:p w:rsidR="00F672FA" w:rsidRDefault="00F672F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672FA" w:rsidRDefault="00F672FA">
    <w:pPr>
      <w:pStyle w:val="Header"/>
    </w:pPr>
  </w:p>
  <w:p w:rsidR="00F672FA" w:rsidRDefault="00F672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FA"/>
    <w:rsid w:val="003A7E5E"/>
    <w:rsid w:val="009832C0"/>
    <w:rsid w:val="00F6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FA"/>
    <w:pPr>
      <w:spacing w:after="0" w:line="240" w:lineRule="auto"/>
      <w:jc w:val="both"/>
    </w:pPr>
    <w:rPr>
      <w:rFonts w:ascii="Verdana" w:eastAsia="Calibri" w:hAnsi="Verdana" w:cs="Times New Roman"/>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2FA"/>
    <w:pPr>
      <w:tabs>
        <w:tab w:val="center" w:pos="4680"/>
        <w:tab w:val="right" w:pos="9360"/>
      </w:tabs>
    </w:pPr>
  </w:style>
  <w:style w:type="character" w:customStyle="1" w:styleId="HeaderChar">
    <w:name w:val="Header Char"/>
    <w:basedOn w:val="DefaultParagraphFont"/>
    <w:link w:val="Header"/>
    <w:uiPriority w:val="99"/>
    <w:rsid w:val="00F672FA"/>
    <w:rPr>
      <w:rFonts w:ascii="Verdana" w:eastAsia="Calibri" w:hAnsi="Verdana" w:cs="Times New Roman"/>
      <w:sz w:val="20"/>
      <w:lang w:val="es-ES"/>
    </w:rPr>
  </w:style>
  <w:style w:type="paragraph" w:styleId="Footer">
    <w:name w:val="footer"/>
    <w:basedOn w:val="Normal"/>
    <w:link w:val="FooterChar"/>
    <w:uiPriority w:val="99"/>
    <w:unhideWhenUsed/>
    <w:rsid w:val="00F672FA"/>
    <w:pPr>
      <w:tabs>
        <w:tab w:val="center" w:pos="4680"/>
        <w:tab w:val="right" w:pos="9360"/>
      </w:tabs>
    </w:pPr>
  </w:style>
  <w:style w:type="character" w:customStyle="1" w:styleId="FooterChar">
    <w:name w:val="Footer Char"/>
    <w:basedOn w:val="DefaultParagraphFont"/>
    <w:link w:val="Footer"/>
    <w:uiPriority w:val="99"/>
    <w:rsid w:val="00F672FA"/>
    <w:rPr>
      <w:rFonts w:ascii="Verdana" w:eastAsia="Calibri" w:hAnsi="Verdana" w:cs="Times New Roman"/>
      <w:sz w:val="20"/>
      <w:lang w:val="es-ES"/>
    </w:rPr>
  </w:style>
  <w:style w:type="character" w:customStyle="1" w:styleId="ListParagraphChar1">
    <w:name w:val="List Paragraph Char1"/>
    <w:link w:val="ListParagraph"/>
    <w:rsid w:val="00F672FA"/>
    <w:rPr>
      <w:rFonts w:ascii="Verdana" w:eastAsia="Times New Roman" w:hAnsi="Verdana"/>
      <w:lang w:val="es-ES_tradnl"/>
    </w:rPr>
  </w:style>
  <w:style w:type="character" w:customStyle="1" w:styleId="apple-style-span">
    <w:name w:val="apple-style-span"/>
    <w:basedOn w:val="DefaultParagraphFont"/>
    <w:rsid w:val="00F672FA"/>
  </w:style>
  <w:style w:type="paragraph" w:styleId="ListParagraph">
    <w:name w:val="List Paragraph"/>
    <w:basedOn w:val="Normal"/>
    <w:link w:val="ListParagraphChar1"/>
    <w:qFormat/>
    <w:rsid w:val="00F672FA"/>
    <w:pPr>
      <w:ind w:left="720"/>
      <w:jc w:val="left"/>
    </w:pPr>
    <w:rPr>
      <w:rFonts w:eastAsia="Times New Roman" w:cstheme="minorBidi"/>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FA"/>
    <w:pPr>
      <w:spacing w:after="0" w:line="240" w:lineRule="auto"/>
      <w:jc w:val="both"/>
    </w:pPr>
    <w:rPr>
      <w:rFonts w:ascii="Verdana" w:eastAsia="Calibri" w:hAnsi="Verdana" w:cs="Times New Roman"/>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2FA"/>
    <w:pPr>
      <w:tabs>
        <w:tab w:val="center" w:pos="4680"/>
        <w:tab w:val="right" w:pos="9360"/>
      </w:tabs>
    </w:pPr>
  </w:style>
  <w:style w:type="character" w:customStyle="1" w:styleId="HeaderChar">
    <w:name w:val="Header Char"/>
    <w:basedOn w:val="DefaultParagraphFont"/>
    <w:link w:val="Header"/>
    <w:uiPriority w:val="99"/>
    <w:rsid w:val="00F672FA"/>
    <w:rPr>
      <w:rFonts w:ascii="Verdana" w:eastAsia="Calibri" w:hAnsi="Verdana" w:cs="Times New Roman"/>
      <w:sz w:val="20"/>
      <w:lang w:val="es-ES"/>
    </w:rPr>
  </w:style>
  <w:style w:type="paragraph" w:styleId="Footer">
    <w:name w:val="footer"/>
    <w:basedOn w:val="Normal"/>
    <w:link w:val="FooterChar"/>
    <w:uiPriority w:val="99"/>
    <w:unhideWhenUsed/>
    <w:rsid w:val="00F672FA"/>
    <w:pPr>
      <w:tabs>
        <w:tab w:val="center" w:pos="4680"/>
        <w:tab w:val="right" w:pos="9360"/>
      </w:tabs>
    </w:pPr>
  </w:style>
  <w:style w:type="character" w:customStyle="1" w:styleId="FooterChar">
    <w:name w:val="Footer Char"/>
    <w:basedOn w:val="DefaultParagraphFont"/>
    <w:link w:val="Footer"/>
    <w:uiPriority w:val="99"/>
    <w:rsid w:val="00F672FA"/>
    <w:rPr>
      <w:rFonts w:ascii="Verdana" w:eastAsia="Calibri" w:hAnsi="Verdana" w:cs="Times New Roman"/>
      <w:sz w:val="20"/>
      <w:lang w:val="es-ES"/>
    </w:rPr>
  </w:style>
  <w:style w:type="character" w:customStyle="1" w:styleId="ListParagraphChar1">
    <w:name w:val="List Paragraph Char1"/>
    <w:link w:val="ListParagraph"/>
    <w:rsid w:val="00F672FA"/>
    <w:rPr>
      <w:rFonts w:ascii="Verdana" w:eastAsia="Times New Roman" w:hAnsi="Verdana"/>
      <w:lang w:val="es-ES_tradnl"/>
    </w:rPr>
  </w:style>
  <w:style w:type="character" w:customStyle="1" w:styleId="apple-style-span">
    <w:name w:val="apple-style-span"/>
    <w:basedOn w:val="DefaultParagraphFont"/>
    <w:rsid w:val="00F672FA"/>
  </w:style>
  <w:style w:type="paragraph" w:styleId="ListParagraph">
    <w:name w:val="List Paragraph"/>
    <w:basedOn w:val="Normal"/>
    <w:link w:val="ListParagraphChar1"/>
    <w:qFormat/>
    <w:rsid w:val="00F672FA"/>
    <w:pPr>
      <w:ind w:left="720"/>
      <w:jc w:val="left"/>
    </w:pPr>
    <w:rPr>
      <w:rFonts w:eastAsia="Times New Roman" w:cstheme="minorBidi"/>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2016-11-16T20:25:00Z</dcterms:created>
  <dcterms:modified xsi:type="dcterms:W3CDTF">2016-11-16T20:30:00Z</dcterms:modified>
</cp:coreProperties>
</file>