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AE91E" w14:textId="3BDD59F7" w:rsidR="00A73E79" w:rsidRPr="00DC15CE" w:rsidRDefault="00F645FD" w:rsidP="00A73E79">
      <w:pPr>
        <w:jc w:val="center"/>
        <w:rPr>
          <w:rFonts w:ascii="Verdana" w:hAnsi="Verdana"/>
          <w:b/>
          <w:sz w:val="22"/>
          <w:szCs w:val="22"/>
          <w:u w:val="single"/>
        </w:rPr>
      </w:pPr>
      <w:bookmarkStart w:id="0" w:name="_GoBack"/>
      <w:r w:rsidRPr="00DC15CE">
        <w:rPr>
          <w:rFonts w:ascii="Verdana" w:hAnsi="Verdana"/>
          <w:b/>
          <w:sz w:val="22"/>
          <w:szCs w:val="22"/>
          <w:u w:val="single"/>
        </w:rPr>
        <w:t xml:space="preserve">Caso </w:t>
      </w:r>
      <w:r>
        <w:rPr>
          <w:rFonts w:ascii="Verdana" w:hAnsi="Verdana"/>
          <w:b/>
          <w:sz w:val="22"/>
          <w:szCs w:val="22"/>
          <w:u w:val="single"/>
        </w:rPr>
        <w:t>Barbani Duarte y otros</w:t>
      </w:r>
      <w:r w:rsidRPr="00DC15CE">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Pr>
          <w:rFonts w:ascii="Verdana" w:hAnsi="Verdana"/>
          <w:b/>
          <w:sz w:val="22"/>
          <w:szCs w:val="22"/>
          <w:u w:val="single"/>
        </w:rPr>
        <w:t xml:space="preserve"> Uruguay</w:t>
      </w:r>
      <w:r>
        <w:rPr>
          <w:rFonts w:ascii="Verdana" w:hAnsi="Verdana"/>
          <w:b/>
          <w:sz w:val="22"/>
          <w:szCs w:val="22"/>
          <w:u w:val="single"/>
        </w:rPr>
        <w:t>: R</w:t>
      </w:r>
      <w:r w:rsidR="00A73E79" w:rsidRPr="00DC15CE">
        <w:rPr>
          <w:rFonts w:ascii="Verdana" w:hAnsi="Verdana"/>
          <w:b/>
          <w:sz w:val="22"/>
          <w:szCs w:val="22"/>
          <w:u w:val="single"/>
        </w:rPr>
        <w:t xml:space="preserve">eparaciones </w:t>
      </w:r>
      <w:r w:rsidR="004C665B">
        <w:rPr>
          <w:rFonts w:ascii="Verdana" w:hAnsi="Verdana"/>
          <w:b/>
          <w:sz w:val="22"/>
          <w:szCs w:val="22"/>
          <w:u w:val="single"/>
        </w:rPr>
        <w:t>pendientes de cumplimiento</w:t>
      </w:r>
    </w:p>
    <w:bookmarkEnd w:id="0"/>
    <w:p w14:paraId="555E0DD9" w14:textId="77777777" w:rsidR="004C665B" w:rsidRDefault="004C665B" w:rsidP="004C665B">
      <w:pPr>
        <w:pStyle w:val="Default"/>
      </w:pPr>
    </w:p>
    <w:p w14:paraId="144611AE" w14:textId="77777777" w:rsidR="004C665B" w:rsidRDefault="004C665B" w:rsidP="004C665B">
      <w:pPr>
        <w:pStyle w:val="Default"/>
        <w:jc w:val="both"/>
      </w:pPr>
      <w:r>
        <w:t xml:space="preserve"> </w:t>
      </w:r>
    </w:p>
    <w:p w14:paraId="7657816F" w14:textId="2615852B" w:rsidR="0072082B" w:rsidRDefault="00F645FD" w:rsidP="004C6603">
      <w:pPr>
        <w:pStyle w:val="Default"/>
        <w:numPr>
          <w:ilvl w:val="0"/>
          <w:numId w:val="2"/>
        </w:numPr>
        <w:jc w:val="both"/>
        <w:rPr>
          <w:sz w:val="20"/>
          <w:szCs w:val="20"/>
        </w:rPr>
      </w:pPr>
      <w:r>
        <w:rPr>
          <w:sz w:val="20"/>
          <w:szCs w:val="20"/>
        </w:rPr>
        <w:t>G</w:t>
      </w:r>
      <w:r w:rsidRPr="00F645FD">
        <w:rPr>
          <w:sz w:val="20"/>
          <w:szCs w:val="20"/>
        </w:rPr>
        <w:t>arantizar que las víctimas</w:t>
      </w:r>
      <w:r>
        <w:rPr>
          <w:sz w:val="20"/>
          <w:szCs w:val="20"/>
        </w:rPr>
        <w:t xml:space="preserve"> </w:t>
      </w:r>
      <w:r w:rsidRPr="00F645FD">
        <w:rPr>
          <w:sz w:val="20"/>
          <w:szCs w:val="20"/>
        </w:rPr>
        <w:t>de este caso o sus derechohabientes puedan presentar nuevas peticiones respecto de la</w:t>
      </w:r>
      <w:r>
        <w:rPr>
          <w:sz w:val="20"/>
          <w:szCs w:val="20"/>
        </w:rPr>
        <w:t xml:space="preserve"> </w:t>
      </w:r>
      <w:r w:rsidRPr="00F645FD">
        <w:rPr>
          <w:sz w:val="20"/>
          <w:szCs w:val="20"/>
        </w:rPr>
        <w:t xml:space="preserve">determinación de los derechos establecidos a través del artículo 31 de la Ley 17.613 </w:t>
      </w:r>
      <w:r w:rsidR="004C6603" w:rsidRPr="004C6603">
        <w:rPr>
          <w:sz w:val="20"/>
          <w:szCs w:val="20"/>
        </w:rPr>
        <w:t>sobre el Fortalecimiento del Sistema Financiero, las cuales deberán ser conocidas y resueltas, en un plazo de tres años, con las debidas garantías por un órgano que tenga la competencia necesaria para realizar un análisis completo de los requi</w:t>
      </w:r>
      <w:r w:rsidR="004C6603">
        <w:rPr>
          <w:sz w:val="20"/>
          <w:szCs w:val="20"/>
        </w:rPr>
        <w:t>sitos dispuestos en dicha norma</w:t>
      </w:r>
      <w:r w:rsidR="004C6603" w:rsidRPr="004C6603">
        <w:rPr>
          <w:sz w:val="20"/>
          <w:szCs w:val="20"/>
        </w:rPr>
        <w:t>.</w:t>
      </w:r>
    </w:p>
    <w:p w14:paraId="0A0A9756" w14:textId="77777777" w:rsidR="0072082B" w:rsidRDefault="0072082B" w:rsidP="0072082B">
      <w:pPr>
        <w:pStyle w:val="Default"/>
        <w:ind w:left="363"/>
        <w:jc w:val="both"/>
        <w:rPr>
          <w:sz w:val="20"/>
          <w:szCs w:val="20"/>
        </w:rPr>
      </w:pPr>
    </w:p>
    <w:p w14:paraId="19A0F02C" w14:textId="77777777" w:rsidR="006A4DD4" w:rsidRDefault="0072082B" w:rsidP="006A4DD4">
      <w:pPr>
        <w:pStyle w:val="Default"/>
        <w:ind w:left="363"/>
        <w:jc w:val="both"/>
        <w:rPr>
          <w:sz w:val="20"/>
          <w:szCs w:val="20"/>
        </w:rPr>
      </w:pPr>
      <w:r w:rsidRPr="0072082B">
        <w:rPr>
          <w:sz w:val="20"/>
          <w:szCs w:val="20"/>
        </w:rPr>
        <w:t>En los Considerandos 44, 45 y 46 de la Resolución de 14 de mayo de 2021</w:t>
      </w:r>
      <w:r w:rsidR="006A4DD4">
        <w:rPr>
          <w:sz w:val="20"/>
          <w:szCs w:val="20"/>
        </w:rPr>
        <w:t>,</w:t>
      </w:r>
      <w:r w:rsidRPr="0072082B">
        <w:rPr>
          <w:sz w:val="20"/>
          <w:szCs w:val="20"/>
        </w:rPr>
        <w:t xml:space="preserve"> la Corte decidió mantener abierto su procedimiento de supervisión de cumplimiento solamente respecto de las 342 víctim</w:t>
      </w:r>
      <w:r w:rsidR="006A4DD4">
        <w:rPr>
          <w:sz w:val="20"/>
          <w:szCs w:val="20"/>
        </w:rPr>
        <w:t>as indicadas en el anexo a esa R</w:t>
      </w:r>
      <w:r w:rsidRPr="0072082B">
        <w:rPr>
          <w:sz w:val="20"/>
          <w:szCs w:val="20"/>
        </w:rPr>
        <w:t>esolución y de las víctimas Alicia Barbani y Jorge Marenales</w:t>
      </w:r>
      <w:r w:rsidR="006A4DD4">
        <w:rPr>
          <w:sz w:val="20"/>
          <w:szCs w:val="20"/>
        </w:rPr>
        <w:t>. En tales Considerandos se estableció lo siguiente:</w:t>
      </w:r>
    </w:p>
    <w:p w14:paraId="55694822" w14:textId="77777777" w:rsidR="006A4DD4" w:rsidRDefault="006A4DD4" w:rsidP="006A4DD4">
      <w:pPr>
        <w:pStyle w:val="Default"/>
        <w:ind w:left="363"/>
        <w:jc w:val="both"/>
        <w:rPr>
          <w:sz w:val="20"/>
          <w:szCs w:val="20"/>
        </w:rPr>
      </w:pPr>
    </w:p>
    <w:p w14:paraId="47C834CD" w14:textId="77777777" w:rsidR="006A4DD4" w:rsidRDefault="0072082B" w:rsidP="004C6603">
      <w:pPr>
        <w:pStyle w:val="Default"/>
        <w:ind w:left="850" w:right="850"/>
        <w:jc w:val="both"/>
        <w:rPr>
          <w:sz w:val="20"/>
          <w:szCs w:val="20"/>
        </w:rPr>
      </w:pPr>
      <w:r w:rsidRPr="0072082B">
        <w:rPr>
          <w:sz w:val="20"/>
          <w:szCs w:val="20"/>
        </w:rPr>
        <w:t>44. Tomando en cuenta lo indicado por las representantes de las víctimas con</w:t>
      </w:r>
      <w:r>
        <w:rPr>
          <w:sz w:val="20"/>
          <w:szCs w:val="20"/>
        </w:rPr>
        <w:t xml:space="preserve"> respecto a </w:t>
      </w:r>
      <w:r w:rsidRPr="0072082B">
        <w:rPr>
          <w:sz w:val="20"/>
          <w:szCs w:val="20"/>
        </w:rPr>
        <w:t xml:space="preserve">otras opciones que tendría el Estado para dar cumplimiento </w:t>
      </w:r>
      <w:r>
        <w:rPr>
          <w:sz w:val="20"/>
          <w:szCs w:val="20"/>
        </w:rPr>
        <w:t xml:space="preserve">a esta medida, entre ellas, “la </w:t>
      </w:r>
      <w:r w:rsidRPr="0072082B">
        <w:rPr>
          <w:sz w:val="20"/>
          <w:szCs w:val="20"/>
        </w:rPr>
        <w:t>creación de un tribunal arbitral ad hoc” (supra Considerando 1</w:t>
      </w:r>
      <w:r>
        <w:rPr>
          <w:sz w:val="20"/>
          <w:szCs w:val="20"/>
        </w:rPr>
        <w:t xml:space="preserve">5), este Tribunal considera que </w:t>
      </w:r>
      <w:r w:rsidRPr="0072082B">
        <w:rPr>
          <w:sz w:val="20"/>
          <w:szCs w:val="20"/>
        </w:rPr>
        <w:t>dada la inefectividad de los procedimientos administrativos</w:t>
      </w:r>
      <w:r>
        <w:rPr>
          <w:sz w:val="20"/>
          <w:szCs w:val="20"/>
        </w:rPr>
        <w:t xml:space="preserve"> empleados hasta ahora por el </w:t>
      </w:r>
      <w:r w:rsidRPr="0072082B">
        <w:rPr>
          <w:sz w:val="20"/>
          <w:szCs w:val="20"/>
        </w:rPr>
        <w:t>Estado y el largo tiempo que ha transcurrido desde la Sentencia</w:t>
      </w:r>
      <w:r>
        <w:rPr>
          <w:sz w:val="20"/>
          <w:szCs w:val="20"/>
        </w:rPr>
        <w:t xml:space="preserve"> sin que las referidas víctimas </w:t>
      </w:r>
      <w:r w:rsidRPr="0072082B">
        <w:rPr>
          <w:sz w:val="20"/>
          <w:szCs w:val="20"/>
        </w:rPr>
        <w:t>hayan obtenido una adecuada reparación conforme a los térm</w:t>
      </w:r>
      <w:r>
        <w:rPr>
          <w:sz w:val="20"/>
          <w:szCs w:val="20"/>
        </w:rPr>
        <w:t xml:space="preserve">inos de la Sentencia, el Estado </w:t>
      </w:r>
      <w:r w:rsidRPr="0072082B">
        <w:rPr>
          <w:sz w:val="20"/>
          <w:szCs w:val="20"/>
        </w:rPr>
        <w:t>deberá resolver las peticiones de las referidas 344 víctima</w:t>
      </w:r>
      <w:r>
        <w:rPr>
          <w:sz w:val="20"/>
          <w:szCs w:val="20"/>
        </w:rPr>
        <w:t xml:space="preserve">s o sus derechohabientes (supra </w:t>
      </w:r>
      <w:r w:rsidRPr="0072082B">
        <w:rPr>
          <w:sz w:val="20"/>
          <w:szCs w:val="20"/>
        </w:rPr>
        <w:t>Considerandos 36, 40 y 42) mediante un tribunal de ar</w:t>
      </w:r>
      <w:r>
        <w:rPr>
          <w:sz w:val="20"/>
          <w:szCs w:val="20"/>
        </w:rPr>
        <w:t xml:space="preserve">bitraje58 que examine de manera </w:t>
      </w:r>
      <w:r w:rsidRPr="0072082B">
        <w:rPr>
          <w:sz w:val="20"/>
          <w:szCs w:val="20"/>
        </w:rPr>
        <w:t>expedita, individual y completa las peticiones que ya fueron</w:t>
      </w:r>
      <w:r>
        <w:rPr>
          <w:sz w:val="20"/>
          <w:szCs w:val="20"/>
        </w:rPr>
        <w:t xml:space="preserve"> presentadas, en particular los </w:t>
      </w:r>
      <w:r w:rsidRPr="0072082B">
        <w:rPr>
          <w:sz w:val="20"/>
          <w:szCs w:val="20"/>
        </w:rPr>
        <w:t>alegatos que hayan presentado respecto del consentimiento</w:t>
      </w:r>
      <w:r>
        <w:rPr>
          <w:sz w:val="20"/>
          <w:szCs w:val="20"/>
        </w:rPr>
        <w:t xml:space="preserve"> y sus posibles afectaciones en </w:t>
      </w:r>
      <w:r w:rsidRPr="0072082B">
        <w:rPr>
          <w:sz w:val="20"/>
          <w:szCs w:val="20"/>
        </w:rPr>
        <w:t>cuanto a la transferencia de sus fondos, y resuelva de manera m</w:t>
      </w:r>
      <w:r>
        <w:rPr>
          <w:sz w:val="20"/>
          <w:szCs w:val="20"/>
        </w:rPr>
        <w:t xml:space="preserve">otivada y definitiva si cumplen </w:t>
      </w:r>
      <w:r w:rsidRPr="0072082B">
        <w:rPr>
          <w:sz w:val="20"/>
          <w:szCs w:val="20"/>
        </w:rPr>
        <w:t>con los requisitos del artículo 31 de la Ley 17.613. El procedim</w:t>
      </w:r>
      <w:r w:rsidR="006A4DD4">
        <w:rPr>
          <w:sz w:val="20"/>
          <w:szCs w:val="20"/>
        </w:rPr>
        <w:t xml:space="preserve">iento arbitral deberá velar por </w:t>
      </w:r>
      <w:r w:rsidRPr="0072082B">
        <w:rPr>
          <w:sz w:val="20"/>
          <w:szCs w:val="20"/>
        </w:rPr>
        <w:t>que no se incurran nuevamente en las mismas violaciones ide</w:t>
      </w:r>
      <w:r w:rsidR="006A4DD4">
        <w:rPr>
          <w:sz w:val="20"/>
          <w:szCs w:val="20"/>
        </w:rPr>
        <w:t xml:space="preserve">ntificadas en la Sentencia y en </w:t>
      </w:r>
      <w:r w:rsidRPr="0072082B">
        <w:rPr>
          <w:sz w:val="20"/>
          <w:szCs w:val="20"/>
        </w:rPr>
        <w:t>esta Resolución.</w:t>
      </w:r>
    </w:p>
    <w:p w14:paraId="3FB126C1" w14:textId="77777777" w:rsidR="006A4DD4" w:rsidRDefault="006A4DD4" w:rsidP="004C6603">
      <w:pPr>
        <w:pStyle w:val="Default"/>
        <w:ind w:left="850" w:right="850"/>
        <w:jc w:val="both"/>
        <w:rPr>
          <w:sz w:val="20"/>
          <w:szCs w:val="20"/>
        </w:rPr>
      </w:pPr>
    </w:p>
    <w:p w14:paraId="6C2C28C8" w14:textId="77777777" w:rsidR="006A4DD4" w:rsidRDefault="0072082B" w:rsidP="004C6603">
      <w:pPr>
        <w:pStyle w:val="Default"/>
        <w:ind w:left="850" w:right="850"/>
        <w:jc w:val="both"/>
        <w:rPr>
          <w:sz w:val="20"/>
          <w:szCs w:val="20"/>
        </w:rPr>
      </w:pPr>
      <w:r w:rsidRPr="0072082B">
        <w:rPr>
          <w:sz w:val="20"/>
          <w:szCs w:val="20"/>
        </w:rPr>
        <w:t xml:space="preserve">45. El procedimiento arbitral señalado en el párrafo </w:t>
      </w:r>
      <w:r>
        <w:rPr>
          <w:sz w:val="20"/>
          <w:szCs w:val="20"/>
        </w:rPr>
        <w:t xml:space="preserve">anterior deberá ser de carácter </w:t>
      </w:r>
      <w:r w:rsidRPr="0072082B">
        <w:rPr>
          <w:sz w:val="20"/>
          <w:szCs w:val="20"/>
        </w:rPr>
        <w:t>independiente e imparcial; llevarse a cabo en Uruguay y conforme a l</w:t>
      </w:r>
      <w:r>
        <w:rPr>
          <w:sz w:val="20"/>
          <w:szCs w:val="20"/>
        </w:rPr>
        <w:t xml:space="preserve">a legislación interna </w:t>
      </w:r>
      <w:r w:rsidRPr="0072082B">
        <w:rPr>
          <w:sz w:val="20"/>
          <w:szCs w:val="20"/>
        </w:rPr>
        <w:t>aplicable en materia de arbitraje, siempre y cuando no c</w:t>
      </w:r>
      <w:r>
        <w:rPr>
          <w:sz w:val="20"/>
          <w:szCs w:val="20"/>
        </w:rPr>
        <w:t xml:space="preserve">ontrovierta lo estipulado en la </w:t>
      </w:r>
      <w:r w:rsidRPr="0072082B">
        <w:rPr>
          <w:sz w:val="20"/>
          <w:szCs w:val="20"/>
        </w:rPr>
        <w:t>Sentencia de este caso y la presente Resolución59. El tribunal de arbitraje estará integrado</w:t>
      </w:r>
      <w:r>
        <w:rPr>
          <w:sz w:val="20"/>
          <w:szCs w:val="20"/>
        </w:rPr>
        <w:t xml:space="preserve"> </w:t>
      </w:r>
      <w:r w:rsidRPr="0072082B">
        <w:rPr>
          <w:sz w:val="20"/>
          <w:szCs w:val="20"/>
        </w:rPr>
        <w:t xml:space="preserve">por tres árbitros. El Estado y las representantes de las víctimas </w:t>
      </w:r>
      <w:r w:rsidR="006A4DD4">
        <w:rPr>
          <w:sz w:val="20"/>
          <w:szCs w:val="20"/>
        </w:rPr>
        <w:t xml:space="preserve">elegirán cada uno a un árbitro. </w:t>
      </w:r>
      <w:r w:rsidRPr="0072082B">
        <w:rPr>
          <w:sz w:val="20"/>
          <w:szCs w:val="20"/>
        </w:rPr>
        <w:t>El tercer árbitro será elegido por esta Corte o su Presidenci</w:t>
      </w:r>
      <w:r>
        <w:rPr>
          <w:sz w:val="20"/>
          <w:szCs w:val="20"/>
        </w:rPr>
        <w:t xml:space="preserve">a, para lo cual el Estado y las </w:t>
      </w:r>
      <w:r w:rsidRPr="0072082B">
        <w:rPr>
          <w:sz w:val="20"/>
          <w:szCs w:val="20"/>
        </w:rPr>
        <w:t>representantes deberán proponer cada uno dos candidatos</w:t>
      </w:r>
      <w:r>
        <w:rPr>
          <w:sz w:val="20"/>
          <w:szCs w:val="20"/>
        </w:rPr>
        <w:t xml:space="preserve">. Ninguno de los árbitros podrá </w:t>
      </w:r>
      <w:r w:rsidRPr="0072082B">
        <w:rPr>
          <w:sz w:val="20"/>
          <w:szCs w:val="20"/>
        </w:rPr>
        <w:t>tener nexo con las partes, ni haber intervenido antes e</w:t>
      </w:r>
      <w:r>
        <w:rPr>
          <w:sz w:val="20"/>
          <w:szCs w:val="20"/>
        </w:rPr>
        <w:t xml:space="preserve">n los anteriores procedimientos </w:t>
      </w:r>
      <w:r w:rsidRPr="0072082B">
        <w:rPr>
          <w:sz w:val="20"/>
          <w:szCs w:val="20"/>
        </w:rPr>
        <w:t>administrativos llevados a cabo ante el Banco Central de Urug</w:t>
      </w:r>
      <w:r>
        <w:rPr>
          <w:sz w:val="20"/>
          <w:szCs w:val="20"/>
        </w:rPr>
        <w:t xml:space="preserve">uay o el Poder Ejecutivo. En el </w:t>
      </w:r>
      <w:r w:rsidRPr="0072082B">
        <w:rPr>
          <w:sz w:val="20"/>
          <w:szCs w:val="20"/>
        </w:rPr>
        <w:t>plazo indicado en el punto resolutivo quinto de la presente</w:t>
      </w:r>
      <w:r>
        <w:rPr>
          <w:sz w:val="20"/>
          <w:szCs w:val="20"/>
        </w:rPr>
        <w:t xml:space="preserve"> Resolución, las partes deberán </w:t>
      </w:r>
      <w:r w:rsidRPr="0072082B">
        <w:rPr>
          <w:sz w:val="20"/>
          <w:szCs w:val="20"/>
        </w:rPr>
        <w:t xml:space="preserve">informar a esta Corte el nombre la persona que cada una ha </w:t>
      </w:r>
      <w:r>
        <w:rPr>
          <w:sz w:val="20"/>
          <w:szCs w:val="20"/>
        </w:rPr>
        <w:t xml:space="preserve">escogido como árbitro y remitir </w:t>
      </w:r>
      <w:r w:rsidRPr="0072082B">
        <w:rPr>
          <w:sz w:val="20"/>
          <w:szCs w:val="20"/>
        </w:rPr>
        <w:t>las hojas de vida de los candidatos que proponen al Tribunal pa</w:t>
      </w:r>
      <w:r>
        <w:rPr>
          <w:sz w:val="20"/>
          <w:szCs w:val="20"/>
        </w:rPr>
        <w:t xml:space="preserve">ra la elección del tercero. Una </w:t>
      </w:r>
      <w:r w:rsidRPr="0072082B">
        <w:rPr>
          <w:sz w:val="20"/>
          <w:szCs w:val="20"/>
        </w:rPr>
        <w:t>vez que la Corte o su Presidencia comunique la designac</w:t>
      </w:r>
      <w:r>
        <w:rPr>
          <w:sz w:val="20"/>
          <w:szCs w:val="20"/>
        </w:rPr>
        <w:t xml:space="preserve">ión del tercer árbitro, quedará </w:t>
      </w:r>
      <w:r w:rsidRPr="0072082B">
        <w:rPr>
          <w:sz w:val="20"/>
          <w:szCs w:val="20"/>
        </w:rPr>
        <w:t>conformado el tribunal arbitral y el Estado tendrá un plazo</w:t>
      </w:r>
      <w:r>
        <w:rPr>
          <w:sz w:val="20"/>
          <w:szCs w:val="20"/>
        </w:rPr>
        <w:t xml:space="preserve"> de tres meses para trasladar a </w:t>
      </w:r>
      <w:r w:rsidRPr="0072082B">
        <w:rPr>
          <w:sz w:val="20"/>
          <w:szCs w:val="20"/>
        </w:rPr>
        <w:t xml:space="preserve">dicho tribunal arbitral </w:t>
      </w:r>
      <w:r w:rsidRPr="0072082B">
        <w:rPr>
          <w:sz w:val="20"/>
          <w:szCs w:val="20"/>
        </w:rPr>
        <w:lastRenderedPageBreak/>
        <w:t>las peticiones y expedien</w:t>
      </w:r>
      <w:r>
        <w:rPr>
          <w:sz w:val="20"/>
          <w:szCs w:val="20"/>
        </w:rPr>
        <w:t xml:space="preserve">tes de estas 344 víctimas o sus </w:t>
      </w:r>
      <w:r w:rsidRPr="0072082B">
        <w:rPr>
          <w:sz w:val="20"/>
          <w:szCs w:val="20"/>
        </w:rPr>
        <w:t>derechohabientes. A partir de dicho traslado el tribunal arbitral contará con un plazo m</w:t>
      </w:r>
      <w:r>
        <w:rPr>
          <w:sz w:val="20"/>
          <w:szCs w:val="20"/>
        </w:rPr>
        <w:t xml:space="preserve">áximo </w:t>
      </w:r>
      <w:r w:rsidRPr="0072082B">
        <w:rPr>
          <w:sz w:val="20"/>
          <w:szCs w:val="20"/>
        </w:rPr>
        <w:t>de dos años para emitir el laudo correspondiente a cada</w:t>
      </w:r>
      <w:r>
        <w:rPr>
          <w:sz w:val="20"/>
          <w:szCs w:val="20"/>
        </w:rPr>
        <w:t xml:space="preserve"> una de las peticiones de estas víctimas.</w:t>
      </w:r>
    </w:p>
    <w:p w14:paraId="74DC4BB6" w14:textId="77777777" w:rsidR="006A4DD4" w:rsidRDefault="006A4DD4" w:rsidP="004C6603">
      <w:pPr>
        <w:pStyle w:val="Default"/>
        <w:ind w:left="850" w:right="850"/>
        <w:jc w:val="both"/>
        <w:rPr>
          <w:sz w:val="20"/>
          <w:szCs w:val="20"/>
        </w:rPr>
      </w:pPr>
    </w:p>
    <w:p w14:paraId="6A408A03" w14:textId="377A9614" w:rsidR="0072082B" w:rsidRDefault="0072082B" w:rsidP="004C6603">
      <w:pPr>
        <w:pStyle w:val="Default"/>
        <w:ind w:left="850" w:right="850"/>
        <w:jc w:val="both"/>
        <w:rPr>
          <w:sz w:val="20"/>
          <w:szCs w:val="20"/>
        </w:rPr>
      </w:pPr>
      <w:r w:rsidRPr="0072082B">
        <w:rPr>
          <w:sz w:val="20"/>
          <w:szCs w:val="20"/>
        </w:rPr>
        <w:t xml:space="preserve">46. En conclusión, la Corte considera que la medida de </w:t>
      </w:r>
      <w:r>
        <w:rPr>
          <w:sz w:val="20"/>
          <w:szCs w:val="20"/>
        </w:rPr>
        <w:t xml:space="preserve">reparación ordenada en el punto </w:t>
      </w:r>
      <w:r w:rsidRPr="0072082B">
        <w:rPr>
          <w:sz w:val="20"/>
          <w:szCs w:val="20"/>
        </w:rPr>
        <w:t xml:space="preserve">dispositivo segundo de la Sentencia se encuentra pendiente </w:t>
      </w:r>
      <w:r>
        <w:rPr>
          <w:sz w:val="20"/>
          <w:szCs w:val="20"/>
        </w:rPr>
        <w:t xml:space="preserve">de cumplimiento respecto de 344 </w:t>
      </w:r>
      <w:r w:rsidRPr="0072082B">
        <w:rPr>
          <w:sz w:val="20"/>
          <w:szCs w:val="20"/>
        </w:rPr>
        <w:t>víctimas y para continuar con su supervisión, se solic</w:t>
      </w:r>
      <w:r>
        <w:rPr>
          <w:sz w:val="20"/>
          <w:szCs w:val="20"/>
        </w:rPr>
        <w:t xml:space="preserve">ita a las partes que remitan la </w:t>
      </w:r>
      <w:r w:rsidRPr="0072082B">
        <w:rPr>
          <w:sz w:val="20"/>
          <w:szCs w:val="20"/>
        </w:rPr>
        <w:t>información que ha sido requerida en el Considerando anterior.</w:t>
      </w:r>
    </w:p>
    <w:p w14:paraId="105220D8" w14:textId="715496C2" w:rsidR="00F645FD" w:rsidRPr="00F645FD" w:rsidRDefault="00F645FD" w:rsidP="004C6603">
      <w:pPr>
        <w:pStyle w:val="Default"/>
        <w:ind w:left="850"/>
        <w:jc w:val="both"/>
        <w:rPr>
          <w:sz w:val="20"/>
          <w:szCs w:val="20"/>
        </w:rPr>
      </w:pPr>
    </w:p>
    <w:p w14:paraId="6619E2A2" w14:textId="581D4D49" w:rsidR="00F645FD" w:rsidRDefault="00F645FD" w:rsidP="004C6603">
      <w:pPr>
        <w:ind w:left="850"/>
      </w:pPr>
    </w:p>
    <w:p w14:paraId="772AD44A" w14:textId="77777777" w:rsidR="00F645FD" w:rsidRDefault="00F645FD" w:rsidP="004C6603">
      <w:pPr>
        <w:ind w:left="850"/>
      </w:pPr>
    </w:p>
    <w:sectPr w:rsidR="00F645F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940E9" w14:textId="77777777" w:rsidR="008C4BC6" w:rsidRDefault="008C4BC6">
      <w:r>
        <w:separator/>
      </w:r>
    </w:p>
  </w:endnote>
  <w:endnote w:type="continuationSeparator" w:id="0">
    <w:p w14:paraId="26E169AA" w14:textId="77777777" w:rsidR="008C4BC6" w:rsidRDefault="008C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04A0" w14:textId="77777777" w:rsidR="0097212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972124" w:rsidRPr="00972124" w:rsidRDefault="008C4BC6">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D4B1C" w14:textId="77777777" w:rsidR="008C4BC6" w:rsidRDefault="008C4BC6">
      <w:r>
        <w:separator/>
      </w:r>
    </w:p>
  </w:footnote>
  <w:footnote w:type="continuationSeparator" w:id="0">
    <w:p w14:paraId="46C87430" w14:textId="77777777" w:rsidR="008C4BC6" w:rsidRDefault="008C4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rFonts w:ascii="Verdana" w:hAnsi="Verdana"/>
        <w:noProof/>
      </w:rPr>
    </w:sdtEndPr>
    <w:sdtContent>
      <w:p w14:paraId="3839DD89" w14:textId="04D3FA00" w:rsidR="0015679C"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4C6603">
          <w:rPr>
            <w:rFonts w:ascii="Verdana" w:hAnsi="Verdana"/>
            <w:noProof/>
          </w:rPr>
          <w:t>1</w:t>
        </w:r>
        <w:r w:rsidRPr="00675FE7">
          <w:rPr>
            <w:rFonts w:ascii="Verdana" w:hAnsi="Verdana"/>
            <w:noProof/>
          </w:rPr>
          <w:fldChar w:fldCharType="end"/>
        </w:r>
      </w:p>
    </w:sdtContent>
  </w:sdt>
  <w:p w14:paraId="1EF4AC7C" w14:textId="77777777" w:rsidR="0015679C" w:rsidRDefault="008C4B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79"/>
    <w:rsid w:val="001E2499"/>
    <w:rsid w:val="004C6603"/>
    <w:rsid w:val="004C665B"/>
    <w:rsid w:val="00581650"/>
    <w:rsid w:val="005C16F6"/>
    <w:rsid w:val="006A4DD4"/>
    <w:rsid w:val="006C4B02"/>
    <w:rsid w:val="0072082B"/>
    <w:rsid w:val="00742BD2"/>
    <w:rsid w:val="008C4BC6"/>
    <w:rsid w:val="009D529F"/>
    <w:rsid w:val="00A73E79"/>
    <w:rsid w:val="00A85FFA"/>
    <w:rsid w:val="00F645F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A4B78-727E-43FC-8892-F51B8191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3362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2</cp:revision>
  <cp:lastPrinted>2021-07-09T21:03:00Z</cp:lastPrinted>
  <dcterms:created xsi:type="dcterms:W3CDTF">2021-07-09T21:04:00Z</dcterms:created>
  <dcterms:modified xsi:type="dcterms:W3CDTF">2021-07-09T21:04:00Z</dcterms:modified>
</cp:coreProperties>
</file>