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48" w:rsidRDefault="00960012"/>
    <w:p w:rsidR="004B4E10" w:rsidRDefault="004B4E10" w:rsidP="004B4E10">
      <w:pPr>
        <w:jc w:val="center"/>
        <w:rPr>
          <w:b/>
          <w:sz w:val="20"/>
          <w:szCs w:val="20"/>
          <w:u w:val="single"/>
        </w:rPr>
      </w:pPr>
      <w:r w:rsidRPr="004B4E10">
        <w:rPr>
          <w:b/>
          <w:sz w:val="20"/>
          <w:szCs w:val="20"/>
          <w:u w:val="single"/>
        </w:rPr>
        <w:t xml:space="preserve">Caso Gelman </w:t>
      </w:r>
      <w:r w:rsidRPr="0040783A">
        <w:rPr>
          <w:b/>
          <w:i/>
          <w:sz w:val="20"/>
          <w:szCs w:val="20"/>
          <w:u w:val="single"/>
        </w:rPr>
        <w:t>Vs.</w:t>
      </w:r>
      <w:r w:rsidRPr="004B4E10">
        <w:rPr>
          <w:b/>
          <w:sz w:val="20"/>
          <w:szCs w:val="20"/>
          <w:u w:val="single"/>
        </w:rPr>
        <w:t xml:space="preserve"> Uruguay: reparaciones declaradas cumplidas</w:t>
      </w:r>
    </w:p>
    <w:p w:rsidR="004B4E10" w:rsidRDefault="004B4E10" w:rsidP="004B4E10">
      <w:pPr>
        <w:rPr>
          <w:b/>
          <w:sz w:val="20"/>
          <w:szCs w:val="20"/>
          <w:u w:val="single"/>
        </w:rPr>
      </w:pPr>
    </w:p>
    <w:p w:rsidR="004B4E10" w:rsidRPr="00CC3476" w:rsidRDefault="004B4E10" w:rsidP="004B4E10">
      <w:pPr>
        <w:jc w:val="both"/>
        <w:rPr>
          <w:sz w:val="20"/>
          <w:szCs w:val="20"/>
        </w:rPr>
      </w:pPr>
    </w:p>
    <w:p w:rsidR="004B4E10" w:rsidRDefault="004B4E10" w:rsidP="004B4E10">
      <w:pPr>
        <w:pStyle w:val="Prrafodelista"/>
        <w:numPr>
          <w:ilvl w:val="0"/>
          <w:numId w:val="1"/>
        </w:numPr>
        <w:ind w:left="360"/>
        <w:jc w:val="both"/>
        <w:rPr>
          <w:color w:val="000000" w:themeColor="text1"/>
          <w:sz w:val="20"/>
          <w:szCs w:val="20"/>
        </w:rPr>
      </w:pPr>
      <w:r>
        <w:rPr>
          <w:color w:val="000000" w:themeColor="text1"/>
          <w:sz w:val="20"/>
          <w:szCs w:val="20"/>
        </w:rPr>
        <w:t>R</w:t>
      </w:r>
      <w:r w:rsidRPr="004B4E10">
        <w:rPr>
          <w:color w:val="000000" w:themeColor="text1"/>
          <w:sz w:val="20"/>
          <w:szCs w:val="20"/>
        </w:rPr>
        <w:t>ealizar, en el plazo de un año, un acto público de reconocimiento de responsabilidad internacional por los hechos del presente caso, de conformidad con el párrafo 266 de la Sentencia.</w:t>
      </w:r>
    </w:p>
    <w:p w:rsidR="004B4E10" w:rsidRDefault="004B4E10" w:rsidP="004B4E10">
      <w:pPr>
        <w:pStyle w:val="Prrafodelista"/>
        <w:jc w:val="both"/>
        <w:rPr>
          <w:color w:val="000000" w:themeColor="text1"/>
          <w:sz w:val="20"/>
          <w:szCs w:val="20"/>
        </w:rPr>
      </w:pPr>
    </w:p>
    <w:p w:rsidR="004B4E10" w:rsidRDefault="004B4E10" w:rsidP="004B4E10">
      <w:pPr>
        <w:pStyle w:val="Prrafodelista"/>
        <w:numPr>
          <w:ilvl w:val="0"/>
          <w:numId w:val="1"/>
        </w:numPr>
        <w:ind w:left="360"/>
        <w:jc w:val="both"/>
        <w:rPr>
          <w:color w:val="000000" w:themeColor="text1"/>
          <w:sz w:val="20"/>
          <w:szCs w:val="20"/>
        </w:rPr>
      </w:pPr>
      <w:r w:rsidRPr="004B4E10">
        <w:rPr>
          <w:color w:val="000000" w:themeColor="text1"/>
          <w:sz w:val="20"/>
          <w:szCs w:val="20"/>
        </w:rPr>
        <w:t>Colocar en un espacio del edificio del Sistema de Información de Defensa (SID) con acceso al público, en el plazo de un año, una placa con la inscripción del nombre de las víctimas y de todas las personas que estuvieron detenidas ilegalmente en dicho lugar, de conformidad con el párrafo 267 de la Sentencia.</w:t>
      </w:r>
      <w:r w:rsidRPr="004B4E10">
        <w:rPr>
          <w:color w:val="000000" w:themeColor="text1"/>
          <w:sz w:val="20"/>
          <w:szCs w:val="20"/>
        </w:rPr>
        <w:tab/>
      </w:r>
    </w:p>
    <w:p w:rsidR="004B4E10" w:rsidRPr="004B4E10" w:rsidRDefault="004B4E10" w:rsidP="004B4E10">
      <w:pPr>
        <w:pStyle w:val="Prrafodelista"/>
        <w:ind w:left="360" w:hanging="360"/>
        <w:rPr>
          <w:color w:val="000000" w:themeColor="text1"/>
          <w:sz w:val="20"/>
          <w:szCs w:val="20"/>
        </w:rPr>
      </w:pPr>
    </w:p>
    <w:p w:rsidR="004B4E10" w:rsidRDefault="004B4E10" w:rsidP="004B4E10">
      <w:pPr>
        <w:pStyle w:val="Prrafodelista"/>
        <w:numPr>
          <w:ilvl w:val="0"/>
          <w:numId w:val="1"/>
        </w:numPr>
        <w:ind w:left="360"/>
        <w:jc w:val="both"/>
        <w:rPr>
          <w:color w:val="000000" w:themeColor="text1"/>
          <w:sz w:val="20"/>
          <w:szCs w:val="20"/>
        </w:rPr>
      </w:pPr>
      <w:r w:rsidRPr="004B4E10">
        <w:rPr>
          <w:color w:val="000000" w:themeColor="text1"/>
          <w:sz w:val="20"/>
          <w:szCs w:val="20"/>
        </w:rPr>
        <w:t>Realizar, en el plazo de seis meses, las publicaciones dispuestas en el párrafo 271 de la Sentencia.</w:t>
      </w:r>
    </w:p>
    <w:p w:rsidR="004B4E10" w:rsidRPr="004B4E10" w:rsidRDefault="004B4E10" w:rsidP="004B4E10">
      <w:pPr>
        <w:pStyle w:val="Prrafodelista"/>
        <w:ind w:left="360" w:hanging="360"/>
        <w:rPr>
          <w:color w:val="000000" w:themeColor="text1"/>
          <w:sz w:val="20"/>
          <w:szCs w:val="20"/>
        </w:rPr>
      </w:pPr>
    </w:p>
    <w:p w:rsidR="004B4E10" w:rsidRDefault="004B4E10" w:rsidP="004B4E10">
      <w:pPr>
        <w:pStyle w:val="Prrafodelista"/>
        <w:numPr>
          <w:ilvl w:val="0"/>
          <w:numId w:val="1"/>
        </w:numPr>
        <w:ind w:left="360"/>
        <w:jc w:val="both"/>
        <w:rPr>
          <w:color w:val="000000" w:themeColor="text1"/>
          <w:sz w:val="20"/>
          <w:szCs w:val="20"/>
        </w:rPr>
      </w:pPr>
      <w:r w:rsidRPr="004B4E10">
        <w:rPr>
          <w:color w:val="000000" w:themeColor="text1"/>
          <w:sz w:val="20"/>
          <w:szCs w:val="20"/>
        </w:rPr>
        <w:t>Pagar, dentro del plazo de un año, las cantidades fijadas en los párrafos 291, 293, 296 y 304 de la presente Sentencia, por concepto de indemnización por daño material e inmaterial y por el reintegro de costas y gastos, según corresponda, de conformidad con los párrafos 305 a 311 de la misma.</w:t>
      </w:r>
    </w:p>
    <w:p w:rsidR="00D82FB8" w:rsidRPr="00D82FB8" w:rsidRDefault="00D82FB8" w:rsidP="00D82FB8">
      <w:pPr>
        <w:pStyle w:val="Prrafodelista"/>
        <w:rPr>
          <w:color w:val="000000" w:themeColor="text1"/>
          <w:sz w:val="20"/>
          <w:szCs w:val="20"/>
        </w:rPr>
      </w:pPr>
    </w:p>
    <w:p w:rsidR="00D82FB8" w:rsidRPr="00D82FB8" w:rsidRDefault="00D82FB8" w:rsidP="00D82FB8">
      <w:pPr>
        <w:jc w:val="both"/>
        <w:rPr>
          <w:b/>
          <w:color w:val="000000" w:themeColor="text1"/>
          <w:sz w:val="20"/>
          <w:szCs w:val="20"/>
        </w:rPr>
      </w:pPr>
      <w:r w:rsidRPr="00D82FB8">
        <w:rPr>
          <w:b/>
          <w:color w:val="000000" w:themeColor="text1"/>
          <w:sz w:val="20"/>
          <w:szCs w:val="20"/>
        </w:rPr>
        <w:t>Cumplimiento parcial:</w:t>
      </w:r>
    </w:p>
    <w:p w:rsidR="00D82FB8" w:rsidRPr="00D82FB8" w:rsidRDefault="00D82FB8" w:rsidP="00D82FB8">
      <w:pPr>
        <w:pStyle w:val="Prrafodelista"/>
        <w:rPr>
          <w:color w:val="000000" w:themeColor="text1"/>
          <w:sz w:val="20"/>
          <w:szCs w:val="20"/>
        </w:rPr>
      </w:pPr>
    </w:p>
    <w:p w:rsidR="00D82FB8" w:rsidRPr="00D82FB8" w:rsidRDefault="00D82FB8" w:rsidP="004B4E10">
      <w:pPr>
        <w:pStyle w:val="Prrafodelista"/>
        <w:numPr>
          <w:ilvl w:val="0"/>
          <w:numId w:val="1"/>
        </w:numPr>
        <w:ind w:left="360"/>
        <w:jc w:val="both"/>
        <w:rPr>
          <w:color w:val="000000" w:themeColor="text1"/>
          <w:sz w:val="16"/>
          <w:szCs w:val="20"/>
        </w:rPr>
      </w:pPr>
      <w:r>
        <w:rPr>
          <w:sz w:val="20"/>
        </w:rPr>
        <w:t>Conducir</w:t>
      </w:r>
      <w:r w:rsidRPr="00D82FB8">
        <w:rPr>
          <w:sz w:val="20"/>
        </w:rPr>
        <w:t xml:space="preserve"> y llevar a término eficazmente la investigación de los hechos del presente caso, a fin de esclarecerlos, determinar las correspondientes responsabilidades penales y administrativas y aplicar las consecuentes sanciones que la ley prevea</w:t>
      </w:r>
      <w:r>
        <w:rPr>
          <w:sz w:val="20"/>
        </w:rPr>
        <w:t xml:space="preserve">, de conformidad con los párrafos </w:t>
      </w:r>
      <w:r w:rsidRPr="00D82FB8">
        <w:rPr>
          <w:sz w:val="20"/>
          <w:szCs w:val="20"/>
        </w:rPr>
        <w:t>252 a</w:t>
      </w:r>
      <w:r w:rsidRPr="00D82FB8">
        <w:rPr>
          <w:sz w:val="20"/>
          <w:szCs w:val="20"/>
        </w:rPr>
        <w:t xml:space="preserve"> 256, 274 y 275 de la Sentencia.</w:t>
      </w:r>
    </w:p>
    <w:p w:rsidR="00D82FB8" w:rsidRPr="00D82FB8" w:rsidRDefault="00D82FB8" w:rsidP="00D82FB8">
      <w:pPr>
        <w:pStyle w:val="Prrafodelista"/>
        <w:ind w:left="360"/>
        <w:jc w:val="both"/>
        <w:rPr>
          <w:color w:val="000000" w:themeColor="text1"/>
          <w:sz w:val="16"/>
          <w:szCs w:val="20"/>
        </w:rPr>
      </w:pPr>
    </w:p>
    <w:p w:rsidR="00D82FB8" w:rsidRPr="00D82FB8" w:rsidRDefault="00D82FB8" w:rsidP="004B4E10">
      <w:pPr>
        <w:pStyle w:val="Prrafodelista"/>
        <w:numPr>
          <w:ilvl w:val="0"/>
          <w:numId w:val="1"/>
        </w:numPr>
        <w:ind w:left="360"/>
        <w:jc w:val="both"/>
        <w:rPr>
          <w:color w:val="000000" w:themeColor="text1"/>
          <w:sz w:val="16"/>
          <w:szCs w:val="20"/>
        </w:rPr>
      </w:pPr>
      <w:r>
        <w:rPr>
          <w:sz w:val="20"/>
        </w:rPr>
        <w:t>G</w:t>
      </w:r>
      <w:r w:rsidRPr="00D82FB8">
        <w:rPr>
          <w:sz w:val="20"/>
        </w:rPr>
        <w:t>arantizar que la Ley de Caducidad de la Pretensión Punitiva del Estado […] no vuelva a representar un obstáculo</w:t>
      </w:r>
      <w:r w:rsidRPr="00D82FB8">
        <w:rPr>
          <w:sz w:val="20"/>
          <w:szCs w:val="20"/>
        </w:rPr>
        <w:t xml:space="preserve">, </w:t>
      </w:r>
      <w:r w:rsidRPr="00D82FB8">
        <w:rPr>
          <w:sz w:val="20"/>
          <w:szCs w:val="20"/>
        </w:rPr>
        <w:t>de conformidad con los párrafos 253 y 254 de la Sentencia.</w:t>
      </w:r>
    </w:p>
    <w:p w:rsidR="00D82FB8" w:rsidRPr="00D82FB8" w:rsidRDefault="00D82FB8" w:rsidP="00D82FB8">
      <w:pPr>
        <w:pStyle w:val="Prrafodelista"/>
        <w:rPr>
          <w:sz w:val="20"/>
        </w:rPr>
      </w:pPr>
    </w:p>
    <w:p w:rsidR="00D82FB8" w:rsidRPr="00960012" w:rsidRDefault="00D82FB8" w:rsidP="004B4E10">
      <w:pPr>
        <w:pStyle w:val="Prrafodelista"/>
        <w:numPr>
          <w:ilvl w:val="0"/>
          <w:numId w:val="1"/>
        </w:numPr>
        <w:ind w:left="360"/>
        <w:jc w:val="both"/>
        <w:rPr>
          <w:color w:val="000000" w:themeColor="text1"/>
          <w:sz w:val="16"/>
          <w:szCs w:val="20"/>
        </w:rPr>
      </w:pPr>
      <w:r>
        <w:rPr>
          <w:sz w:val="20"/>
        </w:rPr>
        <w:t>I</w:t>
      </w:r>
      <w:r w:rsidRPr="00D82FB8">
        <w:rPr>
          <w:sz w:val="20"/>
        </w:rPr>
        <w:t>mplementar […] un programa permanente de derechos humanos dirigido a los agentes del Ministerio Público y a los jueces del Poder Judicial de Uruguay, de conformidad con el párrafo 278 de la Sentencia</w:t>
      </w:r>
      <w:r w:rsidR="00960012">
        <w:rPr>
          <w:sz w:val="20"/>
        </w:rPr>
        <w:t>.</w:t>
      </w:r>
    </w:p>
    <w:p w:rsidR="00960012" w:rsidRPr="00960012" w:rsidRDefault="00960012" w:rsidP="00960012">
      <w:pPr>
        <w:pStyle w:val="Prrafodelista"/>
        <w:rPr>
          <w:color w:val="000000" w:themeColor="text1"/>
          <w:sz w:val="16"/>
          <w:szCs w:val="20"/>
        </w:rPr>
      </w:pPr>
    </w:p>
    <w:p w:rsidR="00960012" w:rsidRPr="00960012" w:rsidRDefault="00960012" w:rsidP="004B4E10">
      <w:pPr>
        <w:pStyle w:val="Prrafodelista"/>
        <w:numPr>
          <w:ilvl w:val="0"/>
          <w:numId w:val="1"/>
        </w:numPr>
        <w:ind w:left="360"/>
        <w:jc w:val="both"/>
        <w:rPr>
          <w:color w:val="000000" w:themeColor="text1"/>
          <w:sz w:val="12"/>
          <w:szCs w:val="20"/>
        </w:rPr>
      </w:pPr>
      <w:r>
        <w:rPr>
          <w:sz w:val="20"/>
        </w:rPr>
        <w:t xml:space="preserve">Adoptar </w:t>
      </w:r>
      <w:r w:rsidRPr="00960012">
        <w:rPr>
          <w:sz w:val="20"/>
        </w:rPr>
        <w:t xml:space="preserve">un Protocolo para la recolección e información de restos de personas </w:t>
      </w:r>
      <w:r>
        <w:rPr>
          <w:sz w:val="20"/>
        </w:rPr>
        <w:t>desaparecidas, de conformidad con el párrafo 275</w:t>
      </w:r>
      <w:bookmarkStart w:id="0" w:name="_GoBack"/>
      <w:bookmarkEnd w:id="0"/>
      <w:r w:rsidRPr="00960012">
        <w:rPr>
          <w:sz w:val="20"/>
        </w:rPr>
        <w:t>.</w:t>
      </w:r>
    </w:p>
    <w:p w:rsidR="004B4E10" w:rsidRPr="004B4E10" w:rsidRDefault="004B4E10" w:rsidP="004B4E10">
      <w:pPr>
        <w:rPr>
          <w:b/>
          <w:sz w:val="20"/>
          <w:szCs w:val="20"/>
          <w:u w:val="single"/>
        </w:rPr>
      </w:pPr>
    </w:p>
    <w:sectPr w:rsidR="004B4E10" w:rsidRPr="004B4E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10" w:rsidRDefault="004B4E10" w:rsidP="004B4E10">
      <w:r>
        <w:separator/>
      </w:r>
    </w:p>
  </w:endnote>
  <w:endnote w:type="continuationSeparator" w:id="0">
    <w:p w:rsidR="004B4E10" w:rsidRDefault="004B4E10" w:rsidP="004B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10" w:rsidRPr="00BE400E" w:rsidRDefault="004B4E10" w:rsidP="004B4E10">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B4E10" w:rsidRPr="004B4E10" w:rsidRDefault="004B4E1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10" w:rsidRDefault="004B4E10" w:rsidP="004B4E10">
      <w:r>
        <w:separator/>
      </w:r>
    </w:p>
  </w:footnote>
  <w:footnote w:type="continuationSeparator" w:id="0">
    <w:p w:rsidR="004B4E10" w:rsidRDefault="004B4E10" w:rsidP="004B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62464"/>
      <w:docPartObj>
        <w:docPartGallery w:val="Page Numbers (Top of Page)"/>
        <w:docPartUnique/>
      </w:docPartObj>
    </w:sdtPr>
    <w:sdtEndPr>
      <w:rPr>
        <w:noProof/>
        <w:sz w:val="20"/>
        <w:szCs w:val="20"/>
      </w:rPr>
    </w:sdtEndPr>
    <w:sdtContent>
      <w:p w:rsidR="004B4E10" w:rsidRPr="004B4E10" w:rsidRDefault="004B4E10">
        <w:pPr>
          <w:pStyle w:val="Encabezado"/>
          <w:jc w:val="right"/>
          <w:rPr>
            <w:sz w:val="20"/>
            <w:szCs w:val="20"/>
          </w:rPr>
        </w:pPr>
        <w:r w:rsidRPr="004B4E10">
          <w:rPr>
            <w:sz w:val="20"/>
            <w:szCs w:val="20"/>
          </w:rPr>
          <w:fldChar w:fldCharType="begin"/>
        </w:r>
        <w:r w:rsidRPr="004B4E10">
          <w:rPr>
            <w:sz w:val="20"/>
            <w:szCs w:val="20"/>
          </w:rPr>
          <w:instrText xml:space="preserve"> PAGE   \* MERGEFORMAT </w:instrText>
        </w:r>
        <w:r w:rsidRPr="004B4E10">
          <w:rPr>
            <w:sz w:val="20"/>
            <w:szCs w:val="20"/>
          </w:rPr>
          <w:fldChar w:fldCharType="separate"/>
        </w:r>
        <w:r w:rsidR="00960012">
          <w:rPr>
            <w:noProof/>
            <w:sz w:val="20"/>
            <w:szCs w:val="20"/>
          </w:rPr>
          <w:t>1</w:t>
        </w:r>
        <w:r w:rsidRPr="004B4E10">
          <w:rPr>
            <w:noProof/>
            <w:sz w:val="20"/>
            <w:szCs w:val="20"/>
          </w:rPr>
          <w:fldChar w:fldCharType="end"/>
        </w:r>
      </w:p>
    </w:sdtContent>
  </w:sdt>
  <w:p w:rsidR="004B4E10" w:rsidRDefault="004B4E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6DC"/>
    <w:multiLevelType w:val="hybridMultilevel"/>
    <w:tmpl w:val="186A02C8"/>
    <w:lvl w:ilvl="0" w:tplc="F27ACC5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0"/>
    <w:rsid w:val="003A7E5E"/>
    <w:rsid w:val="0040783A"/>
    <w:rsid w:val="004B4E10"/>
    <w:rsid w:val="00960012"/>
    <w:rsid w:val="009832C0"/>
    <w:rsid w:val="00D8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2F51"/>
  <w15:docId w15:val="{0CD200E5-A015-46EC-836B-06B5D59F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E10"/>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4B4E10"/>
    <w:pPr>
      <w:keepNext/>
      <w:spacing w:before="240" w:after="60"/>
      <w:outlineLvl w:val="0"/>
    </w:pPr>
    <w:rPr>
      <w:rFonts w:ascii="Arial" w:hAnsi="Arial"/>
      <w:b/>
      <w:bCs/>
      <w:kern w:val="32"/>
      <w:sz w:val="32"/>
      <w:szCs w:val="3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4E10"/>
    <w:rPr>
      <w:rFonts w:ascii="Arial" w:eastAsia="Batang" w:hAnsi="Arial" w:cs="Times New Roman"/>
      <w:b/>
      <w:bCs/>
      <w:kern w:val="32"/>
      <w:sz w:val="32"/>
      <w:szCs w:val="32"/>
      <w:lang w:val="es-ES_tradnl" w:eastAsia="x-none"/>
    </w:rPr>
  </w:style>
  <w:style w:type="paragraph" w:styleId="Encabezado">
    <w:name w:val="header"/>
    <w:basedOn w:val="Normal"/>
    <w:link w:val="EncabezadoCar"/>
    <w:uiPriority w:val="99"/>
    <w:unhideWhenUsed/>
    <w:rsid w:val="004B4E10"/>
    <w:pPr>
      <w:tabs>
        <w:tab w:val="center" w:pos="4680"/>
        <w:tab w:val="right" w:pos="9360"/>
      </w:tabs>
    </w:pPr>
  </w:style>
  <w:style w:type="character" w:customStyle="1" w:styleId="EncabezadoCar">
    <w:name w:val="Encabezado Car"/>
    <w:basedOn w:val="Fuentedeprrafopredeter"/>
    <w:link w:val="Encabezado"/>
    <w:uiPriority w:val="99"/>
    <w:rsid w:val="004B4E10"/>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4B4E10"/>
    <w:pPr>
      <w:tabs>
        <w:tab w:val="center" w:pos="4680"/>
        <w:tab w:val="right" w:pos="9360"/>
      </w:tabs>
    </w:pPr>
  </w:style>
  <w:style w:type="character" w:customStyle="1" w:styleId="PiedepginaCar">
    <w:name w:val="Pie de página Car"/>
    <w:basedOn w:val="Fuentedeprrafopredeter"/>
    <w:link w:val="Piedepgina"/>
    <w:uiPriority w:val="99"/>
    <w:rsid w:val="004B4E10"/>
    <w:rPr>
      <w:rFonts w:ascii="Verdana" w:eastAsia="Batang" w:hAnsi="Verdana" w:cs="Times New Roman"/>
      <w:sz w:val="24"/>
      <w:szCs w:val="24"/>
      <w:lang w:val="es-ES_tradnl"/>
    </w:rPr>
  </w:style>
  <w:style w:type="paragraph" w:styleId="Prrafodelista">
    <w:name w:val="List Paragraph"/>
    <w:basedOn w:val="Normal"/>
    <w:uiPriority w:val="34"/>
    <w:qFormat/>
    <w:rsid w:val="004B4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277</Words>
  <Characters>1524</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3</cp:revision>
  <dcterms:created xsi:type="dcterms:W3CDTF">2016-11-16T22:47:00Z</dcterms:created>
  <dcterms:modified xsi:type="dcterms:W3CDTF">2021-02-18T18:33:00Z</dcterms:modified>
</cp:coreProperties>
</file>