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2DE" w:rsidRPr="004B4E10" w:rsidRDefault="00A002DE" w:rsidP="00A002DE">
      <w:pPr>
        <w:jc w:val="center"/>
        <w:rPr>
          <w:b/>
          <w:sz w:val="20"/>
          <w:szCs w:val="20"/>
          <w:u w:val="single"/>
        </w:rPr>
      </w:pPr>
      <w:r w:rsidRPr="004B4E10">
        <w:rPr>
          <w:b/>
          <w:sz w:val="20"/>
          <w:szCs w:val="20"/>
          <w:u w:val="single"/>
        </w:rPr>
        <w:t xml:space="preserve">Caso Gelman </w:t>
      </w:r>
      <w:r w:rsidRPr="00A002DE">
        <w:rPr>
          <w:b/>
          <w:i/>
          <w:sz w:val="20"/>
          <w:szCs w:val="20"/>
          <w:u w:val="single"/>
        </w:rPr>
        <w:t>Vs</w:t>
      </w:r>
      <w:r w:rsidRPr="004B4E10">
        <w:rPr>
          <w:b/>
          <w:sz w:val="20"/>
          <w:szCs w:val="20"/>
          <w:u w:val="single"/>
        </w:rPr>
        <w:t xml:space="preserve">. Uruguay: reparaciones </w:t>
      </w:r>
      <w:r>
        <w:rPr>
          <w:b/>
          <w:sz w:val="20"/>
          <w:szCs w:val="20"/>
          <w:u w:val="single"/>
        </w:rPr>
        <w:t>pendientes de cumplimiento</w:t>
      </w:r>
    </w:p>
    <w:p w:rsidR="006E7F48" w:rsidRPr="00A002DE" w:rsidRDefault="0087700B">
      <w:pPr>
        <w:rPr>
          <w:color w:val="000000" w:themeColor="text1"/>
        </w:rPr>
      </w:pPr>
    </w:p>
    <w:p w:rsidR="00A002DE" w:rsidRDefault="00A002DE" w:rsidP="00A002DE">
      <w:pPr>
        <w:pStyle w:val="Prrafodelista"/>
        <w:numPr>
          <w:ilvl w:val="0"/>
          <w:numId w:val="1"/>
        </w:numPr>
        <w:ind w:left="360"/>
        <w:jc w:val="both"/>
        <w:rPr>
          <w:color w:val="000000" w:themeColor="text1"/>
          <w:sz w:val="20"/>
          <w:szCs w:val="20"/>
        </w:rPr>
      </w:pPr>
      <w:r>
        <w:rPr>
          <w:color w:val="000000" w:themeColor="text1"/>
          <w:sz w:val="20"/>
          <w:szCs w:val="20"/>
        </w:rPr>
        <w:t>C</w:t>
      </w:r>
      <w:r w:rsidRPr="00A002DE">
        <w:rPr>
          <w:color w:val="000000" w:themeColor="text1"/>
          <w:sz w:val="20"/>
          <w:szCs w:val="20"/>
        </w:rPr>
        <w:t xml:space="preserve">onducir y llevar a término eficazmente la investigación de los hechos del presente caso, a fin de esclarecerlos, determinar las correspondientes responsabilidades penales y administrativas y aplicar las consecuentes sanciones que la ley prevea, de conformidad con los párrafos 252 a 256, 274 y 275 de la Sentencia. </w:t>
      </w:r>
    </w:p>
    <w:p w:rsidR="00A002DE" w:rsidRDefault="00A002DE" w:rsidP="00A002DE">
      <w:pPr>
        <w:pStyle w:val="Prrafodelista"/>
        <w:ind w:left="360" w:hanging="360"/>
        <w:jc w:val="both"/>
        <w:rPr>
          <w:color w:val="000000" w:themeColor="text1"/>
          <w:sz w:val="20"/>
          <w:szCs w:val="20"/>
        </w:rPr>
      </w:pPr>
    </w:p>
    <w:p w:rsidR="00A002DE" w:rsidRDefault="00A002DE" w:rsidP="00A002DE">
      <w:pPr>
        <w:pStyle w:val="Prrafodelista"/>
        <w:numPr>
          <w:ilvl w:val="0"/>
          <w:numId w:val="1"/>
        </w:numPr>
        <w:ind w:left="360"/>
        <w:jc w:val="both"/>
        <w:rPr>
          <w:color w:val="000000" w:themeColor="text1"/>
          <w:sz w:val="20"/>
          <w:szCs w:val="20"/>
        </w:rPr>
      </w:pPr>
      <w:r w:rsidRPr="00A002DE">
        <w:rPr>
          <w:color w:val="000000" w:themeColor="text1"/>
          <w:sz w:val="20"/>
          <w:szCs w:val="20"/>
        </w:rPr>
        <w:t>Continuar y acelerar la búsqueda y localización inmediata de María Claudia García Iruretagoyena, o de sus restos mortales y, en su caso, entregarlos a sus familiares, previa comprobación genética de filiación, de conformidad con los párrafos 259 y 260 de la Sentencia.</w:t>
      </w:r>
    </w:p>
    <w:p w:rsidR="00A002DE" w:rsidRPr="00A002DE" w:rsidRDefault="00A002DE" w:rsidP="00A002DE">
      <w:pPr>
        <w:pStyle w:val="Prrafodelista"/>
        <w:ind w:left="360" w:hanging="360"/>
        <w:rPr>
          <w:color w:val="000000" w:themeColor="text1"/>
          <w:sz w:val="20"/>
          <w:szCs w:val="20"/>
        </w:rPr>
      </w:pPr>
    </w:p>
    <w:p w:rsidR="00A002DE" w:rsidRDefault="00A002DE" w:rsidP="00A002DE">
      <w:pPr>
        <w:pStyle w:val="Prrafodelista"/>
        <w:numPr>
          <w:ilvl w:val="0"/>
          <w:numId w:val="1"/>
        </w:numPr>
        <w:ind w:left="360"/>
        <w:jc w:val="both"/>
        <w:rPr>
          <w:color w:val="000000" w:themeColor="text1"/>
          <w:sz w:val="20"/>
          <w:szCs w:val="20"/>
        </w:rPr>
      </w:pPr>
      <w:r w:rsidRPr="00A002DE">
        <w:rPr>
          <w:color w:val="000000" w:themeColor="text1"/>
          <w:sz w:val="20"/>
          <w:szCs w:val="20"/>
        </w:rPr>
        <w:t>Garantizar que la Ley de Caducidad de la Pretensión Punitiva del Estado, al carecer de efectos por su incompatibilidad con la Convención Americana y la Convención Interamericana sobre Desaparición Forzada de Personas, en cuanto puede impedir u obstaculizar la investigación y eventual sanción de los responsables de graves violaciones de derechos humanos, no vuelva a representar un obstáculo para la investigación de los hechos materia de autos y para la identificación y, si procede, sanción de los responsables de los mismos, de conformidad con los párrafos 253 y 254 de la Sentencia.</w:t>
      </w:r>
    </w:p>
    <w:p w:rsidR="00A002DE" w:rsidRPr="00A002DE" w:rsidRDefault="00A002DE" w:rsidP="00A002DE">
      <w:pPr>
        <w:pStyle w:val="Prrafodelista"/>
        <w:ind w:left="360" w:hanging="360"/>
        <w:rPr>
          <w:color w:val="000000" w:themeColor="text1"/>
          <w:sz w:val="20"/>
          <w:szCs w:val="20"/>
        </w:rPr>
      </w:pPr>
    </w:p>
    <w:p w:rsidR="00A002DE" w:rsidRDefault="00A002DE" w:rsidP="00A002DE">
      <w:pPr>
        <w:pStyle w:val="Prrafodelista"/>
        <w:numPr>
          <w:ilvl w:val="0"/>
          <w:numId w:val="1"/>
        </w:numPr>
        <w:ind w:left="360"/>
        <w:jc w:val="both"/>
        <w:rPr>
          <w:color w:val="000000" w:themeColor="text1"/>
          <w:sz w:val="20"/>
          <w:szCs w:val="20"/>
        </w:rPr>
      </w:pPr>
      <w:r w:rsidRPr="00A002DE">
        <w:rPr>
          <w:color w:val="000000" w:themeColor="text1"/>
          <w:sz w:val="20"/>
          <w:szCs w:val="20"/>
        </w:rPr>
        <w:t>Implementar, en un plazo razonable y con la respectiva asignación presupuestaria, un programa permanente de derechos humanos dirigido a los agentes del Ministerio Público y a los jueces del Poder Judicial de Uruguay, de conformidad con el párrafo 78 de la Sentencia.</w:t>
      </w:r>
    </w:p>
    <w:p w:rsidR="00A002DE" w:rsidRPr="00A002DE" w:rsidRDefault="00A002DE" w:rsidP="00A002DE">
      <w:pPr>
        <w:pStyle w:val="Prrafodelista"/>
        <w:ind w:left="360" w:hanging="360"/>
        <w:rPr>
          <w:color w:val="000000" w:themeColor="text1"/>
          <w:sz w:val="20"/>
          <w:szCs w:val="20"/>
        </w:rPr>
      </w:pPr>
    </w:p>
    <w:p w:rsidR="00A002DE" w:rsidRDefault="00A002DE" w:rsidP="00A002DE">
      <w:pPr>
        <w:pStyle w:val="Prrafodelista"/>
        <w:numPr>
          <w:ilvl w:val="0"/>
          <w:numId w:val="1"/>
        </w:numPr>
        <w:ind w:left="360"/>
        <w:jc w:val="both"/>
        <w:rPr>
          <w:color w:val="000000" w:themeColor="text1"/>
          <w:sz w:val="20"/>
          <w:szCs w:val="20"/>
        </w:rPr>
      </w:pPr>
      <w:r w:rsidRPr="00A002DE">
        <w:rPr>
          <w:color w:val="000000" w:themeColor="text1"/>
          <w:sz w:val="20"/>
          <w:szCs w:val="20"/>
        </w:rPr>
        <w:t>Adoptar, en el plazo de dos años, las medidas pertinentes para garantizar el acceso técnico y sistematizado a información acerca de las graves violaciones de derechos humanos ocurridas durante la dictadura que reposa en archivos estatales, de conformidad con los párrafos 274, 275 y 282 de la Sentencia.</w:t>
      </w:r>
    </w:p>
    <w:p w:rsidR="0087700B" w:rsidRPr="0087700B" w:rsidRDefault="0087700B" w:rsidP="0087700B">
      <w:pPr>
        <w:pStyle w:val="Prrafodelista"/>
        <w:rPr>
          <w:color w:val="000000" w:themeColor="text1"/>
          <w:sz w:val="20"/>
          <w:szCs w:val="20"/>
        </w:rPr>
      </w:pPr>
    </w:p>
    <w:p w:rsidR="0087700B" w:rsidRPr="0087700B" w:rsidRDefault="0087700B" w:rsidP="00A002DE">
      <w:pPr>
        <w:pStyle w:val="Prrafodelista"/>
        <w:numPr>
          <w:ilvl w:val="0"/>
          <w:numId w:val="1"/>
        </w:numPr>
        <w:ind w:left="360"/>
        <w:jc w:val="both"/>
        <w:rPr>
          <w:color w:val="000000" w:themeColor="text1"/>
          <w:sz w:val="16"/>
          <w:szCs w:val="20"/>
        </w:rPr>
      </w:pPr>
      <w:r>
        <w:rPr>
          <w:sz w:val="20"/>
        </w:rPr>
        <w:t xml:space="preserve">Creación de una </w:t>
      </w:r>
      <w:r w:rsidRPr="0087700B">
        <w:rPr>
          <w:sz w:val="20"/>
        </w:rPr>
        <w:t>Comisión Interministerial que se encargue de dar impulso a las investigaciones para esclarecer el destino de los desapareci</w:t>
      </w:r>
      <w:r>
        <w:rPr>
          <w:sz w:val="20"/>
        </w:rPr>
        <w:t xml:space="preserve">dos entre los años 1973 a 1985, de conformidad con el </w:t>
      </w:r>
      <w:r w:rsidRPr="0087700B">
        <w:rPr>
          <w:sz w:val="20"/>
        </w:rPr>
        <w:t>párrafo 274 de la Sentencia</w:t>
      </w:r>
      <w:r>
        <w:rPr>
          <w:sz w:val="20"/>
        </w:rPr>
        <w:t>.</w:t>
      </w:r>
      <w:bookmarkStart w:id="0" w:name="_GoBack"/>
      <w:bookmarkEnd w:id="0"/>
    </w:p>
    <w:p w:rsidR="0087700B" w:rsidRPr="0087700B" w:rsidRDefault="0087700B" w:rsidP="0087700B">
      <w:pPr>
        <w:pStyle w:val="Prrafodelista"/>
        <w:rPr>
          <w:sz w:val="20"/>
        </w:rPr>
      </w:pPr>
    </w:p>
    <w:p w:rsidR="0087700B" w:rsidRPr="0087700B" w:rsidRDefault="0087700B" w:rsidP="00A002DE">
      <w:pPr>
        <w:pStyle w:val="Prrafodelista"/>
        <w:numPr>
          <w:ilvl w:val="0"/>
          <w:numId w:val="1"/>
        </w:numPr>
        <w:ind w:left="360"/>
        <w:jc w:val="both"/>
        <w:rPr>
          <w:color w:val="000000" w:themeColor="text1"/>
          <w:sz w:val="16"/>
          <w:szCs w:val="20"/>
        </w:rPr>
      </w:pPr>
      <w:r>
        <w:rPr>
          <w:sz w:val="20"/>
        </w:rPr>
        <w:t>A</w:t>
      </w:r>
      <w:r w:rsidRPr="0087700B">
        <w:rPr>
          <w:sz w:val="20"/>
        </w:rPr>
        <w:t>doptar un Protocolo para la recolección e información de re</w:t>
      </w:r>
      <w:r>
        <w:rPr>
          <w:sz w:val="20"/>
        </w:rPr>
        <w:t xml:space="preserve">stos de personas desaparecidas, de conformidad con el </w:t>
      </w:r>
      <w:r w:rsidRPr="0087700B">
        <w:rPr>
          <w:sz w:val="20"/>
        </w:rPr>
        <w:t xml:space="preserve">párrafo 275 </w:t>
      </w:r>
      <w:r>
        <w:rPr>
          <w:sz w:val="20"/>
        </w:rPr>
        <w:t>de la Sentencia</w:t>
      </w:r>
      <w:r w:rsidRPr="0087700B">
        <w:rPr>
          <w:sz w:val="20"/>
        </w:rPr>
        <w:t>.</w:t>
      </w:r>
    </w:p>
    <w:p w:rsidR="00A002DE" w:rsidRDefault="00A002DE"/>
    <w:sectPr w:rsidR="00A002D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700B">
      <w:r>
        <w:separator/>
      </w:r>
    </w:p>
  </w:endnote>
  <w:endnote w:type="continuationSeparator" w:id="0">
    <w:p w:rsidR="00000000" w:rsidRDefault="0087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10" w:rsidRPr="00BE400E" w:rsidRDefault="00A002DE" w:rsidP="004B4E10">
    <w:pPr>
      <w:jc w:val="both"/>
      <w:rPr>
        <w:rFonts w:eastAsia="Times"/>
        <w:bCs/>
        <w:sz w:val="16"/>
        <w:szCs w:val="16"/>
        <w:lang w:val="es-MX"/>
      </w:rPr>
    </w:pPr>
    <w:r w:rsidRPr="00BE400E">
      <w:rPr>
        <w:rFonts w:eastAsia="Times"/>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4B4E10" w:rsidRPr="004B4E10" w:rsidRDefault="0087700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7700B">
      <w:r>
        <w:separator/>
      </w:r>
    </w:p>
  </w:footnote>
  <w:footnote w:type="continuationSeparator" w:id="0">
    <w:p w:rsidR="00000000" w:rsidRDefault="00877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362464"/>
      <w:docPartObj>
        <w:docPartGallery w:val="Page Numbers (Top of Page)"/>
        <w:docPartUnique/>
      </w:docPartObj>
    </w:sdtPr>
    <w:sdtEndPr>
      <w:rPr>
        <w:noProof/>
        <w:sz w:val="20"/>
        <w:szCs w:val="20"/>
      </w:rPr>
    </w:sdtEndPr>
    <w:sdtContent>
      <w:p w:rsidR="004B4E10" w:rsidRPr="004B4E10" w:rsidRDefault="00A002DE">
        <w:pPr>
          <w:pStyle w:val="Encabezado"/>
          <w:jc w:val="right"/>
          <w:rPr>
            <w:sz w:val="20"/>
            <w:szCs w:val="20"/>
          </w:rPr>
        </w:pPr>
        <w:r w:rsidRPr="004B4E10">
          <w:rPr>
            <w:sz w:val="20"/>
            <w:szCs w:val="20"/>
          </w:rPr>
          <w:fldChar w:fldCharType="begin"/>
        </w:r>
        <w:r w:rsidRPr="004B4E10">
          <w:rPr>
            <w:sz w:val="20"/>
            <w:szCs w:val="20"/>
          </w:rPr>
          <w:instrText xml:space="preserve"> PAGE   \* MERGEFORMAT </w:instrText>
        </w:r>
        <w:r w:rsidRPr="004B4E10">
          <w:rPr>
            <w:sz w:val="20"/>
            <w:szCs w:val="20"/>
          </w:rPr>
          <w:fldChar w:fldCharType="separate"/>
        </w:r>
        <w:r w:rsidR="0087700B">
          <w:rPr>
            <w:noProof/>
            <w:sz w:val="20"/>
            <w:szCs w:val="20"/>
          </w:rPr>
          <w:t>1</w:t>
        </w:r>
        <w:r w:rsidRPr="004B4E10">
          <w:rPr>
            <w:noProof/>
            <w:sz w:val="20"/>
            <w:szCs w:val="20"/>
          </w:rPr>
          <w:fldChar w:fldCharType="end"/>
        </w:r>
      </w:p>
    </w:sdtContent>
  </w:sdt>
  <w:p w:rsidR="004B4E10" w:rsidRDefault="008770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912F2"/>
    <w:multiLevelType w:val="hybridMultilevel"/>
    <w:tmpl w:val="D098E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DE"/>
    <w:rsid w:val="003A7E5E"/>
    <w:rsid w:val="0087700B"/>
    <w:rsid w:val="009832C0"/>
    <w:rsid w:val="00A00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9E4C"/>
  <w15:docId w15:val="{04D99754-4127-40AB-9AB3-3EB252D7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2DE"/>
    <w:pPr>
      <w:spacing w:after="0" w:line="240" w:lineRule="auto"/>
    </w:pPr>
    <w:rPr>
      <w:rFonts w:ascii="Verdana" w:eastAsia="Batang" w:hAnsi="Verdan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02DE"/>
    <w:pPr>
      <w:tabs>
        <w:tab w:val="center" w:pos="4680"/>
        <w:tab w:val="right" w:pos="9360"/>
      </w:tabs>
    </w:pPr>
  </w:style>
  <w:style w:type="character" w:customStyle="1" w:styleId="EncabezadoCar">
    <w:name w:val="Encabezado Car"/>
    <w:basedOn w:val="Fuentedeprrafopredeter"/>
    <w:link w:val="Encabezado"/>
    <w:uiPriority w:val="99"/>
    <w:rsid w:val="00A002DE"/>
    <w:rPr>
      <w:rFonts w:ascii="Verdana" w:eastAsia="Batang" w:hAnsi="Verdana" w:cs="Times New Roman"/>
      <w:sz w:val="24"/>
      <w:szCs w:val="24"/>
      <w:lang w:val="es-ES_tradnl"/>
    </w:rPr>
  </w:style>
  <w:style w:type="paragraph" w:styleId="Piedepgina">
    <w:name w:val="footer"/>
    <w:basedOn w:val="Normal"/>
    <w:link w:val="PiedepginaCar"/>
    <w:uiPriority w:val="99"/>
    <w:unhideWhenUsed/>
    <w:rsid w:val="00A002DE"/>
    <w:pPr>
      <w:tabs>
        <w:tab w:val="center" w:pos="4680"/>
        <w:tab w:val="right" w:pos="9360"/>
      </w:tabs>
    </w:pPr>
  </w:style>
  <w:style w:type="character" w:customStyle="1" w:styleId="PiedepginaCar">
    <w:name w:val="Pie de página Car"/>
    <w:basedOn w:val="Fuentedeprrafopredeter"/>
    <w:link w:val="Piedepgina"/>
    <w:uiPriority w:val="99"/>
    <w:rsid w:val="00A002DE"/>
    <w:rPr>
      <w:rFonts w:ascii="Verdana" w:eastAsia="Batang" w:hAnsi="Verdana" w:cs="Times New Roman"/>
      <w:sz w:val="24"/>
      <w:szCs w:val="24"/>
      <w:lang w:val="es-ES_tradnl"/>
    </w:rPr>
  </w:style>
  <w:style w:type="paragraph" w:styleId="Prrafodelista">
    <w:name w:val="List Paragraph"/>
    <w:basedOn w:val="Normal"/>
    <w:uiPriority w:val="34"/>
    <w:qFormat/>
    <w:rsid w:val="00A00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Tsaitami Ordonez</cp:lastModifiedBy>
  <cp:revision>2</cp:revision>
  <dcterms:created xsi:type="dcterms:W3CDTF">2016-11-16T22:48:00Z</dcterms:created>
  <dcterms:modified xsi:type="dcterms:W3CDTF">2021-02-18T18:35:00Z</dcterms:modified>
</cp:coreProperties>
</file>