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DFDC" w14:textId="2D3ACE85" w:rsidR="002E2679" w:rsidRDefault="00373CEE" w:rsidP="006166C1">
      <w:pPr>
        <w:spacing w:after="0" w:line="240" w:lineRule="auto"/>
        <w:jc w:val="center"/>
        <w:rPr>
          <w:rFonts w:ascii="Verdana" w:hAnsi="Verdana"/>
          <w:color w:val="000000" w:themeColor="text1"/>
          <w:sz w:val="20"/>
          <w:szCs w:val="20"/>
        </w:rPr>
      </w:pPr>
      <w:r>
        <w:rPr>
          <w:rFonts w:ascii="Verdana" w:hAnsi="Verdana"/>
          <w:color w:val="000000" w:themeColor="text1"/>
          <w:sz w:val="20"/>
          <w:szCs w:val="20"/>
        </w:rPr>
        <w:t>3</w:t>
      </w:r>
    </w:p>
    <w:p w14:paraId="4F492840" w14:textId="77777777" w:rsidR="00952F32" w:rsidRDefault="00952F32" w:rsidP="006166C1">
      <w:pPr>
        <w:spacing w:after="0" w:line="240" w:lineRule="auto"/>
        <w:jc w:val="center"/>
        <w:rPr>
          <w:rFonts w:ascii="Verdana" w:hAnsi="Verdana"/>
          <w:color w:val="000000" w:themeColor="text1"/>
          <w:sz w:val="20"/>
          <w:szCs w:val="20"/>
        </w:rPr>
      </w:pPr>
      <w:bookmarkStart w:id="0" w:name="_Hlk102046700"/>
    </w:p>
    <w:p w14:paraId="7BE85D19" w14:textId="1C488717" w:rsidR="0060123C" w:rsidRDefault="0060123C" w:rsidP="006166C1">
      <w:pPr>
        <w:spacing w:after="0" w:line="240" w:lineRule="auto"/>
        <w:jc w:val="center"/>
        <w:rPr>
          <w:rFonts w:ascii="Verdana" w:hAnsi="Verdana"/>
          <w:color w:val="000000" w:themeColor="text1"/>
          <w:sz w:val="20"/>
          <w:szCs w:val="20"/>
        </w:rPr>
      </w:pPr>
    </w:p>
    <w:p w14:paraId="0BFDBB94" w14:textId="4E78B4CF" w:rsidR="002E2679" w:rsidRDefault="002E2679" w:rsidP="006166C1">
      <w:pPr>
        <w:spacing w:after="0" w:line="240" w:lineRule="auto"/>
        <w:jc w:val="center"/>
        <w:rPr>
          <w:rFonts w:ascii="Verdana" w:hAnsi="Verdana"/>
          <w:color w:val="000000" w:themeColor="text1"/>
          <w:sz w:val="20"/>
          <w:szCs w:val="20"/>
        </w:rPr>
      </w:pPr>
    </w:p>
    <w:p w14:paraId="6582F6CC" w14:textId="6C42E884" w:rsidR="002E2679" w:rsidRPr="0060123C" w:rsidRDefault="002E2679" w:rsidP="006166C1">
      <w:pPr>
        <w:spacing w:after="0" w:line="240" w:lineRule="auto"/>
        <w:jc w:val="center"/>
        <w:rPr>
          <w:rFonts w:ascii="Verdana" w:hAnsi="Verdana"/>
          <w:color w:val="000000" w:themeColor="text1"/>
          <w:sz w:val="20"/>
          <w:szCs w:val="20"/>
        </w:rPr>
      </w:pPr>
    </w:p>
    <w:p w14:paraId="5DDF0C2F" w14:textId="50E34735" w:rsidR="002E2679" w:rsidRPr="0060123C" w:rsidRDefault="002E2679" w:rsidP="006166C1">
      <w:pPr>
        <w:spacing w:after="0" w:line="240" w:lineRule="auto"/>
        <w:jc w:val="center"/>
        <w:rPr>
          <w:rFonts w:ascii="Verdana" w:hAnsi="Verdana"/>
          <w:color w:val="000000" w:themeColor="text1"/>
          <w:sz w:val="20"/>
          <w:szCs w:val="20"/>
        </w:rPr>
      </w:pPr>
    </w:p>
    <w:p w14:paraId="033CA135" w14:textId="48011EBB" w:rsidR="002E2679" w:rsidRPr="0060123C" w:rsidRDefault="002E2679" w:rsidP="006166C1">
      <w:pPr>
        <w:spacing w:after="0" w:line="240" w:lineRule="auto"/>
        <w:jc w:val="center"/>
        <w:rPr>
          <w:rFonts w:ascii="Verdana" w:hAnsi="Verdana"/>
          <w:color w:val="000000" w:themeColor="text1"/>
          <w:sz w:val="20"/>
          <w:szCs w:val="20"/>
        </w:rPr>
      </w:pPr>
    </w:p>
    <w:p w14:paraId="6E04D9C7" w14:textId="77777777" w:rsidR="002E2679" w:rsidRPr="0060123C" w:rsidRDefault="002E2679" w:rsidP="006166C1">
      <w:pPr>
        <w:spacing w:after="0" w:line="240" w:lineRule="auto"/>
        <w:jc w:val="center"/>
        <w:rPr>
          <w:rFonts w:ascii="Verdana" w:hAnsi="Verdana"/>
          <w:color w:val="000000" w:themeColor="text1"/>
          <w:sz w:val="20"/>
          <w:szCs w:val="20"/>
        </w:rPr>
      </w:pPr>
    </w:p>
    <w:p w14:paraId="1324B5CC" w14:textId="77777777" w:rsidR="00DC6DC0" w:rsidRPr="0060123C" w:rsidRDefault="00DC6DC0" w:rsidP="006166C1">
      <w:pPr>
        <w:spacing w:after="0" w:line="240" w:lineRule="auto"/>
        <w:jc w:val="center"/>
        <w:rPr>
          <w:rFonts w:ascii="Verdana" w:hAnsi="Verdana"/>
          <w:b/>
          <w:color w:val="000000" w:themeColor="text1"/>
          <w:sz w:val="20"/>
          <w:szCs w:val="20"/>
        </w:rPr>
      </w:pPr>
      <w:r w:rsidRPr="0060123C">
        <w:rPr>
          <w:rFonts w:ascii="Verdana" w:hAnsi="Verdana"/>
          <w:b/>
          <w:color w:val="000000" w:themeColor="text1"/>
          <w:sz w:val="20"/>
          <w:szCs w:val="20"/>
        </w:rPr>
        <w:t>RESOLUCIÓN DE LA</w:t>
      </w:r>
    </w:p>
    <w:p w14:paraId="025F0085" w14:textId="77777777" w:rsidR="00DC6DC0" w:rsidRPr="0060123C" w:rsidRDefault="00DC6DC0" w:rsidP="006166C1">
      <w:pPr>
        <w:spacing w:after="0" w:line="240" w:lineRule="auto"/>
        <w:jc w:val="center"/>
        <w:rPr>
          <w:rFonts w:ascii="Verdana" w:hAnsi="Verdana"/>
          <w:b/>
          <w:color w:val="000000" w:themeColor="text1"/>
          <w:sz w:val="20"/>
          <w:szCs w:val="20"/>
        </w:rPr>
      </w:pPr>
      <w:r w:rsidRPr="0060123C">
        <w:rPr>
          <w:rFonts w:ascii="Verdana" w:hAnsi="Verdana"/>
          <w:b/>
          <w:color w:val="000000" w:themeColor="text1"/>
          <w:sz w:val="20"/>
          <w:szCs w:val="20"/>
        </w:rPr>
        <w:t>CORTE INTERAMERICANA DE DERECHOS HUMANOS*</w:t>
      </w:r>
    </w:p>
    <w:p w14:paraId="11A3A4A4" w14:textId="2285533B" w:rsidR="00DC6DC0" w:rsidRDefault="00DC6DC0" w:rsidP="006166C1">
      <w:pPr>
        <w:spacing w:after="0" w:line="240" w:lineRule="auto"/>
        <w:jc w:val="center"/>
        <w:rPr>
          <w:rFonts w:ascii="Verdana" w:hAnsi="Verdana"/>
          <w:b/>
          <w:color w:val="000000" w:themeColor="text1"/>
          <w:sz w:val="20"/>
          <w:szCs w:val="20"/>
        </w:rPr>
      </w:pPr>
    </w:p>
    <w:p w14:paraId="6FD6C1CB" w14:textId="77777777" w:rsidR="00A04B36" w:rsidRPr="0060123C" w:rsidRDefault="00A04B36" w:rsidP="006166C1">
      <w:pPr>
        <w:spacing w:after="0" w:line="240" w:lineRule="auto"/>
        <w:jc w:val="center"/>
        <w:rPr>
          <w:rFonts w:ascii="Verdana" w:hAnsi="Verdana"/>
          <w:b/>
          <w:color w:val="000000" w:themeColor="text1"/>
          <w:sz w:val="20"/>
          <w:szCs w:val="20"/>
        </w:rPr>
      </w:pPr>
    </w:p>
    <w:p w14:paraId="4DEFF581" w14:textId="12C24C90" w:rsidR="00DC6DC0" w:rsidRPr="0060123C" w:rsidRDefault="00DC6DC0" w:rsidP="006166C1">
      <w:pPr>
        <w:spacing w:after="0" w:line="240" w:lineRule="auto"/>
        <w:jc w:val="center"/>
        <w:rPr>
          <w:rFonts w:ascii="Verdana" w:hAnsi="Verdana"/>
          <w:b/>
          <w:color w:val="000000" w:themeColor="text1"/>
          <w:sz w:val="20"/>
          <w:szCs w:val="20"/>
        </w:rPr>
      </w:pPr>
      <w:r w:rsidRPr="0060123C">
        <w:rPr>
          <w:rFonts w:ascii="Verdana" w:hAnsi="Verdana"/>
          <w:b/>
          <w:color w:val="000000" w:themeColor="text1"/>
          <w:sz w:val="20"/>
          <w:szCs w:val="20"/>
        </w:rPr>
        <w:t xml:space="preserve">DE </w:t>
      </w:r>
      <w:r w:rsidR="003051B0" w:rsidRPr="0060123C">
        <w:rPr>
          <w:rFonts w:ascii="Verdana" w:hAnsi="Verdana"/>
          <w:b/>
          <w:color w:val="000000" w:themeColor="text1"/>
          <w:sz w:val="20"/>
          <w:szCs w:val="20"/>
        </w:rPr>
        <w:t>5</w:t>
      </w:r>
      <w:r w:rsidRPr="0060123C">
        <w:rPr>
          <w:rFonts w:ascii="Verdana" w:hAnsi="Verdana"/>
          <w:b/>
          <w:color w:val="000000" w:themeColor="text1"/>
          <w:sz w:val="20"/>
          <w:szCs w:val="20"/>
        </w:rPr>
        <w:t xml:space="preserve"> DE </w:t>
      </w:r>
      <w:r w:rsidR="00F55F6B" w:rsidRPr="0060123C">
        <w:rPr>
          <w:rFonts w:ascii="Verdana" w:hAnsi="Verdana"/>
          <w:b/>
          <w:color w:val="000000" w:themeColor="text1"/>
          <w:sz w:val="20"/>
          <w:szCs w:val="20"/>
        </w:rPr>
        <w:t>ABRIL</w:t>
      </w:r>
      <w:r w:rsidR="008E26A7" w:rsidRPr="0060123C">
        <w:rPr>
          <w:rFonts w:ascii="Verdana" w:hAnsi="Verdana"/>
          <w:b/>
          <w:color w:val="000000" w:themeColor="text1"/>
          <w:sz w:val="20"/>
          <w:szCs w:val="20"/>
        </w:rPr>
        <w:t xml:space="preserve"> </w:t>
      </w:r>
      <w:r w:rsidRPr="0060123C">
        <w:rPr>
          <w:rFonts w:ascii="Verdana" w:hAnsi="Verdana"/>
          <w:b/>
          <w:color w:val="000000" w:themeColor="text1"/>
          <w:sz w:val="20"/>
          <w:szCs w:val="20"/>
        </w:rPr>
        <w:t>DE 202</w:t>
      </w:r>
      <w:r w:rsidR="008E26A7" w:rsidRPr="0060123C">
        <w:rPr>
          <w:rFonts w:ascii="Verdana" w:hAnsi="Verdana"/>
          <w:b/>
          <w:color w:val="000000" w:themeColor="text1"/>
          <w:sz w:val="20"/>
          <w:szCs w:val="20"/>
        </w:rPr>
        <w:t>2</w:t>
      </w:r>
    </w:p>
    <w:p w14:paraId="09AA431D" w14:textId="1CD56DE7" w:rsidR="00DC6DC0" w:rsidRDefault="00DC6DC0" w:rsidP="006166C1">
      <w:pPr>
        <w:spacing w:after="0" w:line="240" w:lineRule="auto"/>
        <w:jc w:val="center"/>
        <w:rPr>
          <w:rFonts w:ascii="Verdana" w:hAnsi="Verdana"/>
          <w:b/>
          <w:color w:val="000000" w:themeColor="text1"/>
          <w:sz w:val="20"/>
          <w:szCs w:val="20"/>
        </w:rPr>
      </w:pPr>
    </w:p>
    <w:p w14:paraId="42E5F2C9" w14:textId="77777777" w:rsidR="00A04B36" w:rsidRPr="0060123C" w:rsidRDefault="00A04B36" w:rsidP="006166C1">
      <w:pPr>
        <w:spacing w:after="0" w:line="240" w:lineRule="auto"/>
        <w:jc w:val="center"/>
        <w:rPr>
          <w:rFonts w:ascii="Verdana" w:hAnsi="Verdana"/>
          <w:b/>
          <w:color w:val="000000" w:themeColor="text1"/>
          <w:sz w:val="20"/>
          <w:szCs w:val="20"/>
        </w:rPr>
      </w:pPr>
    </w:p>
    <w:p w14:paraId="4D7FDB04" w14:textId="7BC36AEB" w:rsidR="0003546F" w:rsidRPr="00616861" w:rsidRDefault="005E2586" w:rsidP="006166C1">
      <w:pPr>
        <w:pStyle w:val="Prrafodelista"/>
        <w:ind w:left="0"/>
        <w:jc w:val="center"/>
        <w:rPr>
          <w:rFonts w:ascii="Verdana" w:hAnsi="Verdana"/>
          <w:b/>
          <w:bCs/>
          <w:i/>
          <w:color w:val="000000" w:themeColor="text1"/>
          <w:sz w:val="20"/>
          <w:szCs w:val="20"/>
        </w:rPr>
      </w:pPr>
      <w:bookmarkStart w:id="1" w:name="_Hlk95380863"/>
      <w:bookmarkStart w:id="2" w:name="_Hlk95315487"/>
      <w:r w:rsidRPr="00616861">
        <w:rPr>
          <w:rFonts w:ascii="Verdana" w:hAnsi="Verdana"/>
          <w:b/>
          <w:i/>
          <w:color w:val="000000" w:themeColor="text1"/>
          <w:sz w:val="20"/>
          <w:szCs w:val="20"/>
        </w:rPr>
        <w:t>CASO</w:t>
      </w:r>
      <w:r w:rsidR="00CB33FC" w:rsidRPr="00616861">
        <w:rPr>
          <w:rFonts w:ascii="Verdana" w:hAnsi="Verdana"/>
          <w:b/>
          <w:i/>
          <w:color w:val="000000" w:themeColor="text1"/>
          <w:sz w:val="20"/>
          <w:szCs w:val="20"/>
        </w:rPr>
        <w:t>S</w:t>
      </w:r>
      <w:r w:rsidRPr="00616861">
        <w:rPr>
          <w:rFonts w:ascii="Verdana" w:hAnsi="Verdana"/>
          <w:b/>
          <w:i/>
          <w:color w:val="000000" w:themeColor="text1"/>
          <w:sz w:val="20"/>
          <w:szCs w:val="20"/>
        </w:rPr>
        <w:t xml:space="preserve"> </w:t>
      </w:r>
      <w:bookmarkStart w:id="3" w:name="_Hlk95143428"/>
      <w:r w:rsidRPr="00616861">
        <w:rPr>
          <w:rFonts w:ascii="Verdana" w:hAnsi="Verdana"/>
          <w:b/>
          <w:i/>
          <w:color w:val="000000" w:themeColor="text1"/>
          <w:sz w:val="20"/>
          <w:szCs w:val="20"/>
        </w:rPr>
        <w:t xml:space="preserve">TARAZONA ARRIETA Y OTROS, </w:t>
      </w:r>
      <w:r w:rsidRPr="00616861">
        <w:rPr>
          <w:rFonts w:ascii="Verdana" w:hAnsi="Verdana"/>
          <w:b/>
          <w:bCs/>
          <w:i/>
          <w:color w:val="000000" w:themeColor="text1"/>
          <w:sz w:val="20"/>
          <w:szCs w:val="20"/>
        </w:rPr>
        <w:t>CANALES HUAPAYA Y OTROS, WONG HO WING, ZEGARRA MARÍN</w:t>
      </w:r>
      <w:r w:rsidR="00CB33FC" w:rsidRPr="00616861">
        <w:rPr>
          <w:rFonts w:ascii="Verdana" w:hAnsi="Verdana"/>
          <w:b/>
          <w:bCs/>
          <w:i/>
          <w:color w:val="000000" w:themeColor="text1"/>
          <w:sz w:val="20"/>
          <w:szCs w:val="20"/>
        </w:rPr>
        <w:t xml:space="preserve"> Y </w:t>
      </w:r>
      <w:r w:rsidRPr="00616861">
        <w:rPr>
          <w:rFonts w:ascii="Verdana" w:hAnsi="Verdana"/>
          <w:b/>
          <w:bCs/>
          <w:i/>
          <w:color w:val="000000" w:themeColor="text1"/>
          <w:sz w:val="20"/>
          <w:szCs w:val="20"/>
        </w:rPr>
        <w:t xml:space="preserve">LAGOS DEL CAMPO </w:t>
      </w:r>
      <w:bookmarkEnd w:id="3"/>
      <w:r w:rsidRPr="00616861">
        <w:rPr>
          <w:rFonts w:ascii="Verdana" w:hAnsi="Verdana"/>
          <w:b/>
          <w:bCs/>
          <w:i/>
          <w:color w:val="000000" w:themeColor="text1"/>
          <w:sz w:val="20"/>
          <w:szCs w:val="20"/>
        </w:rPr>
        <w:t>VS. PERÚ</w:t>
      </w:r>
      <w:bookmarkEnd w:id="1"/>
    </w:p>
    <w:bookmarkEnd w:id="2"/>
    <w:p w14:paraId="1355EEA3" w14:textId="77777777" w:rsidR="00DC6DC0" w:rsidRPr="0060123C" w:rsidRDefault="00DC6DC0" w:rsidP="006166C1">
      <w:pPr>
        <w:spacing w:after="0" w:line="240" w:lineRule="auto"/>
        <w:rPr>
          <w:rFonts w:ascii="Verdana" w:hAnsi="Verdana"/>
          <w:b/>
          <w:color w:val="000000" w:themeColor="text1"/>
          <w:sz w:val="20"/>
          <w:szCs w:val="20"/>
        </w:rPr>
      </w:pPr>
    </w:p>
    <w:p w14:paraId="62B09138" w14:textId="77777777" w:rsidR="00DC6DC0" w:rsidRPr="0060123C" w:rsidRDefault="00DC6DC0" w:rsidP="006166C1">
      <w:pPr>
        <w:spacing w:after="0" w:line="240" w:lineRule="auto"/>
        <w:jc w:val="center"/>
        <w:rPr>
          <w:rFonts w:ascii="Verdana" w:hAnsi="Verdana"/>
          <w:b/>
          <w:color w:val="000000" w:themeColor="text1"/>
          <w:sz w:val="20"/>
          <w:szCs w:val="20"/>
        </w:rPr>
      </w:pPr>
      <w:r w:rsidRPr="0060123C">
        <w:rPr>
          <w:rFonts w:ascii="Verdana" w:hAnsi="Verdana"/>
          <w:b/>
          <w:color w:val="000000" w:themeColor="text1"/>
          <w:sz w:val="20"/>
          <w:szCs w:val="20"/>
        </w:rPr>
        <w:t>SUPERVISIÓN DE CUMPLIMIENTO DE SENTENCIAS</w:t>
      </w:r>
    </w:p>
    <w:p w14:paraId="1C19634A" w14:textId="77777777" w:rsidR="005E2586" w:rsidRPr="0060123C" w:rsidRDefault="005E2586" w:rsidP="006166C1">
      <w:pPr>
        <w:spacing w:before="120" w:after="120" w:line="240" w:lineRule="auto"/>
        <w:jc w:val="both"/>
        <w:rPr>
          <w:rFonts w:ascii="Verdana" w:hAnsi="Verdana"/>
          <w:b/>
          <w:color w:val="000000" w:themeColor="text1"/>
          <w:sz w:val="20"/>
          <w:szCs w:val="20"/>
        </w:rPr>
      </w:pPr>
    </w:p>
    <w:p w14:paraId="49BD4FA6" w14:textId="1502C735" w:rsidR="005E2586" w:rsidRPr="0060123C" w:rsidRDefault="005E2586" w:rsidP="006166C1">
      <w:pPr>
        <w:spacing w:before="120" w:after="120" w:line="240" w:lineRule="auto"/>
        <w:jc w:val="both"/>
        <w:rPr>
          <w:rFonts w:ascii="Verdana" w:hAnsi="Verdana"/>
          <w:b/>
          <w:color w:val="000000" w:themeColor="text1"/>
          <w:sz w:val="20"/>
          <w:szCs w:val="20"/>
        </w:rPr>
      </w:pPr>
      <w:r w:rsidRPr="0060123C">
        <w:rPr>
          <w:rFonts w:ascii="Verdana" w:hAnsi="Verdana"/>
          <w:b/>
          <w:color w:val="000000" w:themeColor="text1"/>
          <w:sz w:val="20"/>
          <w:szCs w:val="20"/>
        </w:rPr>
        <w:t>VISTO:</w:t>
      </w:r>
    </w:p>
    <w:p w14:paraId="39CA33A6" w14:textId="5F29EF4D" w:rsidR="00A85AE9" w:rsidRPr="0060123C" w:rsidRDefault="005E2586" w:rsidP="006166C1">
      <w:pPr>
        <w:pStyle w:val="Prrafodelista"/>
        <w:numPr>
          <w:ilvl w:val="0"/>
          <w:numId w:val="1"/>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L</w:t>
      </w:r>
      <w:r w:rsidR="00E006CF" w:rsidRPr="0060123C">
        <w:rPr>
          <w:rFonts w:ascii="Verdana" w:hAnsi="Verdana"/>
          <w:color w:val="000000" w:themeColor="text1"/>
          <w:sz w:val="20"/>
          <w:szCs w:val="20"/>
        </w:rPr>
        <w:t>as Sentencias de excepciones preliminares, fondo, reparaciones y costas emitidas por la Corte Interamericana de Derechos Humanos</w:t>
      </w:r>
      <w:r w:rsidRPr="0060123C">
        <w:rPr>
          <w:rFonts w:ascii="Verdana" w:hAnsi="Verdana"/>
          <w:color w:val="000000" w:themeColor="text1"/>
          <w:sz w:val="20"/>
          <w:szCs w:val="20"/>
        </w:rPr>
        <w:t xml:space="preserve"> (en adelante “la Corte Interamericana”, “la Corte” o “el Tribunal”) </w:t>
      </w:r>
      <w:r w:rsidR="00543512" w:rsidRPr="0060123C">
        <w:rPr>
          <w:rFonts w:ascii="Verdana" w:hAnsi="Verdana"/>
          <w:color w:val="000000" w:themeColor="text1"/>
          <w:sz w:val="20"/>
          <w:szCs w:val="20"/>
        </w:rPr>
        <w:t xml:space="preserve">entre los años </w:t>
      </w:r>
      <w:r w:rsidR="0060621F" w:rsidRPr="0060123C">
        <w:rPr>
          <w:rFonts w:ascii="Verdana" w:hAnsi="Verdana"/>
          <w:color w:val="000000" w:themeColor="text1"/>
          <w:sz w:val="20"/>
          <w:szCs w:val="20"/>
        </w:rPr>
        <w:t>2014</w:t>
      </w:r>
      <w:r w:rsidR="00543512" w:rsidRPr="0060123C">
        <w:rPr>
          <w:rFonts w:ascii="Verdana" w:hAnsi="Verdana"/>
          <w:color w:val="000000" w:themeColor="text1"/>
          <w:sz w:val="20"/>
          <w:szCs w:val="20"/>
        </w:rPr>
        <w:t xml:space="preserve"> a </w:t>
      </w:r>
      <w:r w:rsidR="00336B60" w:rsidRPr="0060123C">
        <w:rPr>
          <w:rFonts w:ascii="Verdana" w:hAnsi="Verdana"/>
          <w:color w:val="000000" w:themeColor="text1"/>
          <w:sz w:val="20"/>
          <w:szCs w:val="20"/>
        </w:rPr>
        <w:t>201</w:t>
      </w:r>
      <w:r w:rsidR="002E2679" w:rsidRPr="0060123C">
        <w:rPr>
          <w:rFonts w:ascii="Verdana" w:hAnsi="Verdana"/>
          <w:color w:val="000000" w:themeColor="text1"/>
          <w:sz w:val="20"/>
          <w:szCs w:val="20"/>
        </w:rPr>
        <w:t>7</w:t>
      </w:r>
      <w:r w:rsidR="00616861">
        <w:rPr>
          <w:rFonts w:ascii="Verdana" w:hAnsi="Verdana"/>
          <w:color w:val="000000" w:themeColor="text1"/>
          <w:sz w:val="20"/>
          <w:szCs w:val="20"/>
        </w:rPr>
        <w:t xml:space="preserve"> </w:t>
      </w:r>
      <w:r w:rsidR="00616861" w:rsidRPr="0060123C">
        <w:rPr>
          <w:rFonts w:ascii="Verdana" w:hAnsi="Verdana"/>
          <w:color w:val="000000" w:themeColor="text1"/>
          <w:sz w:val="20"/>
          <w:szCs w:val="20"/>
        </w:rPr>
        <w:t>(en adelante “las Sentencias”)</w:t>
      </w:r>
      <w:r w:rsidR="004518BF" w:rsidRPr="0060123C">
        <w:rPr>
          <w:rFonts w:ascii="Verdana" w:hAnsi="Verdana"/>
          <w:color w:val="000000" w:themeColor="text1"/>
          <w:sz w:val="20"/>
          <w:szCs w:val="20"/>
        </w:rPr>
        <w:t xml:space="preserve"> en los casos </w:t>
      </w:r>
      <w:bookmarkStart w:id="4" w:name="_Hlk95750290"/>
      <w:r w:rsidR="004518BF" w:rsidRPr="0060123C">
        <w:rPr>
          <w:rFonts w:ascii="Verdana" w:hAnsi="Verdana"/>
          <w:i/>
          <w:iCs/>
          <w:color w:val="000000" w:themeColor="text1"/>
          <w:sz w:val="20"/>
          <w:szCs w:val="20"/>
        </w:rPr>
        <w:t xml:space="preserve">Tarazona </w:t>
      </w:r>
      <w:r w:rsidR="00CB33FC" w:rsidRPr="0060123C">
        <w:rPr>
          <w:rFonts w:ascii="Verdana" w:hAnsi="Verdana"/>
          <w:i/>
          <w:iCs/>
          <w:color w:val="000000" w:themeColor="text1"/>
          <w:sz w:val="20"/>
          <w:szCs w:val="20"/>
        </w:rPr>
        <w:t>Arrieta y</w:t>
      </w:r>
      <w:r w:rsidR="004518BF" w:rsidRPr="0060123C">
        <w:rPr>
          <w:rFonts w:ascii="Verdana" w:hAnsi="Verdana"/>
          <w:i/>
          <w:iCs/>
          <w:color w:val="000000" w:themeColor="text1"/>
          <w:sz w:val="20"/>
          <w:szCs w:val="20"/>
        </w:rPr>
        <w:t xml:space="preserve"> otros</w:t>
      </w:r>
      <w:bookmarkEnd w:id="4"/>
      <w:r w:rsidR="004518BF" w:rsidRPr="0060123C">
        <w:rPr>
          <w:rFonts w:ascii="Verdana" w:hAnsi="Verdana"/>
          <w:i/>
          <w:iCs/>
          <w:color w:val="000000" w:themeColor="text1"/>
          <w:sz w:val="20"/>
          <w:szCs w:val="20"/>
        </w:rPr>
        <w:t xml:space="preserve">, Canales Huapaya </w:t>
      </w:r>
      <w:r w:rsidR="000618D3" w:rsidRPr="0060123C">
        <w:rPr>
          <w:rFonts w:ascii="Verdana" w:hAnsi="Verdana"/>
          <w:i/>
          <w:iCs/>
          <w:color w:val="000000" w:themeColor="text1"/>
          <w:sz w:val="20"/>
          <w:szCs w:val="20"/>
        </w:rPr>
        <w:t>y</w:t>
      </w:r>
      <w:r w:rsidR="004518BF" w:rsidRPr="0060123C">
        <w:rPr>
          <w:rFonts w:ascii="Verdana" w:hAnsi="Verdana"/>
          <w:i/>
          <w:iCs/>
          <w:color w:val="000000" w:themeColor="text1"/>
          <w:sz w:val="20"/>
          <w:szCs w:val="20"/>
        </w:rPr>
        <w:t xml:space="preserve"> </w:t>
      </w:r>
      <w:r w:rsidR="000618D3" w:rsidRPr="0060123C">
        <w:rPr>
          <w:rFonts w:ascii="Verdana" w:hAnsi="Verdana"/>
          <w:i/>
          <w:iCs/>
          <w:color w:val="000000" w:themeColor="text1"/>
          <w:sz w:val="20"/>
          <w:szCs w:val="20"/>
        </w:rPr>
        <w:t>o</w:t>
      </w:r>
      <w:r w:rsidR="004518BF" w:rsidRPr="0060123C">
        <w:rPr>
          <w:rFonts w:ascii="Verdana" w:hAnsi="Verdana"/>
          <w:i/>
          <w:iCs/>
          <w:color w:val="000000" w:themeColor="text1"/>
          <w:sz w:val="20"/>
          <w:szCs w:val="20"/>
        </w:rPr>
        <w:t xml:space="preserve">tros, Wong Ho </w:t>
      </w:r>
      <w:proofErr w:type="spellStart"/>
      <w:r w:rsidR="004518BF" w:rsidRPr="0060123C">
        <w:rPr>
          <w:rFonts w:ascii="Verdana" w:hAnsi="Verdana"/>
          <w:i/>
          <w:iCs/>
          <w:color w:val="000000" w:themeColor="text1"/>
          <w:sz w:val="20"/>
          <w:szCs w:val="20"/>
        </w:rPr>
        <w:t>Wing</w:t>
      </w:r>
      <w:bookmarkStart w:id="5" w:name="_Hlk101192162"/>
      <w:proofErr w:type="spellEnd"/>
      <w:r w:rsidR="004518BF" w:rsidRPr="0060123C">
        <w:rPr>
          <w:rFonts w:ascii="Verdana" w:hAnsi="Verdana"/>
          <w:i/>
          <w:iCs/>
          <w:color w:val="000000" w:themeColor="text1"/>
          <w:sz w:val="20"/>
          <w:szCs w:val="20"/>
        </w:rPr>
        <w:t>, Zegarra Marín</w:t>
      </w:r>
      <w:r w:rsidR="000618D3" w:rsidRPr="0060123C">
        <w:rPr>
          <w:rFonts w:ascii="Verdana" w:hAnsi="Verdana"/>
          <w:i/>
          <w:iCs/>
          <w:color w:val="000000" w:themeColor="text1"/>
          <w:sz w:val="20"/>
          <w:szCs w:val="20"/>
        </w:rPr>
        <w:t xml:space="preserve"> </w:t>
      </w:r>
      <w:bookmarkEnd w:id="5"/>
      <w:r w:rsidR="000618D3" w:rsidRPr="0060123C">
        <w:rPr>
          <w:rFonts w:ascii="Verdana" w:hAnsi="Verdana"/>
          <w:i/>
          <w:iCs/>
          <w:color w:val="000000" w:themeColor="text1"/>
          <w:sz w:val="20"/>
          <w:szCs w:val="20"/>
        </w:rPr>
        <w:t>y</w:t>
      </w:r>
      <w:r w:rsidR="004518BF" w:rsidRPr="0060123C">
        <w:rPr>
          <w:rFonts w:ascii="Verdana" w:hAnsi="Verdana"/>
          <w:i/>
          <w:iCs/>
          <w:color w:val="000000" w:themeColor="text1"/>
          <w:sz w:val="20"/>
          <w:szCs w:val="20"/>
        </w:rPr>
        <w:t xml:space="preserve"> Lagos </w:t>
      </w:r>
      <w:r w:rsidR="00330ADC" w:rsidRPr="0060123C">
        <w:rPr>
          <w:rFonts w:ascii="Verdana" w:hAnsi="Verdana"/>
          <w:i/>
          <w:iCs/>
          <w:color w:val="000000" w:themeColor="text1"/>
          <w:sz w:val="20"/>
          <w:szCs w:val="20"/>
        </w:rPr>
        <w:t>d</w:t>
      </w:r>
      <w:r w:rsidR="004518BF" w:rsidRPr="0060123C">
        <w:rPr>
          <w:rFonts w:ascii="Verdana" w:hAnsi="Verdana"/>
          <w:i/>
          <w:iCs/>
          <w:color w:val="000000" w:themeColor="text1"/>
          <w:sz w:val="20"/>
          <w:szCs w:val="20"/>
        </w:rPr>
        <w:t>el Campo</w:t>
      </w:r>
      <w:r w:rsidR="00DB5E78" w:rsidRPr="0060123C">
        <w:rPr>
          <w:rStyle w:val="Refdenotaalpie"/>
          <w:rFonts w:ascii="Verdana" w:hAnsi="Verdana"/>
          <w:color w:val="000000" w:themeColor="text1"/>
          <w:sz w:val="20"/>
          <w:szCs w:val="20"/>
        </w:rPr>
        <w:footnoteReference w:id="1"/>
      </w:r>
      <w:r w:rsidR="00E64E85" w:rsidRPr="0060123C">
        <w:rPr>
          <w:rFonts w:ascii="Verdana" w:hAnsi="Verdana"/>
          <w:i/>
          <w:iCs/>
          <w:color w:val="000000" w:themeColor="text1"/>
          <w:sz w:val="20"/>
          <w:szCs w:val="20"/>
        </w:rPr>
        <w:t xml:space="preserve"> </w:t>
      </w:r>
      <w:r w:rsidR="00E64E85" w:rsidRPr="0060123C">
        <w:rPr>
          <w:rFonts w:ascii="Verdana" w:hAnsi="Verdana"/>
          <w:color w:val="000000" w:themeColor="text1"/>
          <w:sz w:val="20"/>
          <w:szCs w:val="20"/>
        </w:rPr>
        <w:t xml:space="preserve">(en adelante </w:t>
      </w:r>
      <w:r w:rsidR="00A04B36">
        <w:rPr>
          <w:rFonts w:ascii="Verdana" w:hAnsi="Verdana"/>
          <w:color w:val="000000" w:themeColor="text1"/>
          <w:sz w:val="20"/>
          <w:szCs w:val="20"/>
        </w:rPr>
        <w:t xml:space="preserve">también </w:t>
      </w:r>
      <w:r w:rsidR="00E64E85" w:rsidRPr="0060123C">
        <w:rPr>
          <w:rFonts w:ascii="Verdana" w:hAnsi="Verdana"/>
          <w:color w:val="000000" w:themeColor="text1"/>
          <w:sz w:val="20"/>
          <w:szCs w:val="20"/>
        </w:rPr>
        <w:t xml:space="preserve">“los cinco casos”) todos contra la República del Perú </w:t>
      </w:r>
      <w:r w:rsidR="00E52C24" w:rsidRPr="0060123C">
        <w:rPr>
          <w:rFonts w:ascii="Verdana" w:hAnsi="Verdana"/>
          <w:color w:val="000000" w:themeColor="text1"/>
          <w:sz w:val="20"/>
          <w:szCs w:val="20"/>
        </w:rPr>
        <w:t>(en adelante “el Estado” o “Perú”)</w:t>
      </w:r>
      <w:r w:rsidR="002E2679" w:rsidRPr="0060123C">
        <w:rPr>
          <w:rFonts w:ascii="Verdana" w:hAnsi="Verdana"/>
          <w:color w:val="000000" w:themeColor="text1"/>
          <w:sz w:val="20"/>
          <w:szCs w:val="20"/>
        </w:rPr>
        <w:t xml:space="preserve">, así como las Sentencias de </w:t>
      </w:r>
      <w:r w:rsidR="00BD028D">
        <w:rPr>
          <w:rFonts w:ascii="Verdana" w:hAnsi="Verdana"/>
          <w:color w:val="000000" w:themeColor="text1"/>
          <w:sz w:val="20"/>
          <w:szCs w:val="20"/>
        </w:rPr>
        <w:t>I</w:t>
      </w:r>
      <w:r w:rsidR="002E2679" w:rsidRPr="0060123C">
        <w:rPr>
          <w:rFonts w:ascii="Verdana" w:hAnsi="Verdana"/>
          <w:color w:val="000000" w:themeColor="text1"/>
          <w:sz w:val="20"/>
          <w:szCs w:val="20"/>
        </w:rPr>
        <w:t>nterpretación</w:t>
      </w:r>
      <w:r w:rsidR="00BD028D">
        <w:rPr>
          <w:rFonts w:ascii="Verdana" w:hAnsi="Verdana"/>
          <w:color w:val="000000" w:themeColor="text1"/>
          <w:sz w:val="20"/>
          <w:szCs w:val="20"/>
        </w:rPr>
        <w:t xml:space="preserve"> dictadas por la Corte entre los años 2016 a 2018 </w:t>
      </w:r>
      <w:r w:rsidR="00BD028D" w:rsidRPr="0060123C">
        <w:rPr>
          <w:rFonts w:ascii="Verdana" w:hAnsi="Verdana"/>
          <w:color w:val="000000" w:themeColor="text1"/>
          <w:sz w:val="20"/>
          <w:szCs w:val="20"/>
        </w:rPr>
        <w:t xml:space="preserve">en los casos </w:t>
      </w:r>
      <w:r w:rsidR="00BD028D" w:rsidRPr="0060123C">
        <w:rPr>
          <w:rFonts w:ascii="Verdana" w:hAnsi="Verdana"/>
          <w:i/>
          <w:iCs/>
          <w:color w:val="000000" w:themeColor="text1"/>
          <w:sz w:val="20"/>
          <w:szCs w:val="20"/>
        </w:rPr>
        <w:t xml:space="preserve">Canales Huapaya y otros, Wong Ho </w:t>
      </w:r>
      <w:proofErr w:type="spellStart"/>
      <w:r w:rsidR="00BD028D" w:rsidRPr="0060123C">
        <w:rPr>
          <w:rFonts w:ascii="Verdana" w:hAnsi="Verdana"/>
          <w:i/>
          <w:iCs/>
          <w:color w:val="000000" w:themeColor="text1"/>
          <w:sz w:val="20"/>
          <w:szCs w:val="20"/>
        </w:rPr>
        <w:t>Wing</w:t>
      </w:r>
      <w:proofErr w:type="spellEnd"/>
      <w:r w:rsidR="00BD028D" w:rsidRPr="0060123C">
        <w:rPr>
          <w:rFonts w:ascii="Verdana" w:hAnsi="Verdana"/>
          <w:i/>
          <w:iCs/>
          <w:color w:val="000000" w:themeColor="text1"/>
          <w:sz w:val="20"/>
          <w:szCs w:val="20"/>
        </w:rPr>
        <w:t>, Zegarra Marín</w:t>
      </w:r>
      <w:r w:rsidR="00BD028D" w:rsidRPr="00DC3F3E">
        <w:rPr>
          <w:rFonts w:ascii="Verdana" w:hAnsi="Verdana"/>
          <w:color w:val="000000" w:themeColor="text1"/>
          <w:sz w:val="20"/>
          <w:szCs w:val="20"/>
        </w:rPr>
        <w:t xml:space="preserve"> y </w:t>
      </w:r>
      <w:r w:rsidR="00BD028D" w:rsidRPr="0060123C">
        <w:rPr>
          <w:rFonts w:ascii="Verdana" w:hAnsi="Verdana"/>
          <w:i/>
          <w:iCs/>
          <w:color w:val="000000" w:themeColor="text1"/>
          <w:sz w:val="20"/>
          <w:szCs w:val="20"/>
        </w:rPr>
        <w:t>Lagos del Camp</w:t>
      </w:r>
      <w:r w:rsidR="00BD028D">
        <w:rPr>
          <w:rFonts w:ascii="Verdana" w:hAnsi="Verdana"/>
          <w:i/>
          <w:iCs/>
          <w:color w:val="000000" w:themeColor="text1"/>
          <w:sz w:val="20"/>
          <w:szCs w:val="20"/>
        </w:rPr>
        <w:t>o</w:t>
      </w:r>
      <w:r w:rsidR="00ED095C" w:rsidRPr="0060123C">
        <w:rPr>
          <w:rStyle w:val="Refdenotaalpie"/>
          <w:rFonts w:ascii="Verdana" w:hAnsi="Verdana"/>
          <w:color w:val="000000" w:themeColor="text1"/>
          <w:sz w:val="20"/>
          <w:szCs w:val="20"/>
        </w:rPr>
        <w:footnoteReference w:id="2"/>
      </w:r>
      <w:r w:rsidR="00D900F2" w:rsidRPr="0060123C">
        <w:rPr>
          <w:rFonts w:ascii="Verdana" w:hAnsi="Verdana"/>
          <w:color w:val="000000" w:themeColor="text1"/>
          <w:sz w:val="20"/>
          <w:szCs w:val="20"/>
        </w:rPr>
        <w:t>.</w:t>
      </w:r>
    </w:p>
    <w:p w14:paraId="4CE21FFD" w14:textId="277AA80B" w:rsidR="000C31CC" w:rsidRPr="0060123C" w:rsidRDefault="00CA1B6B" w:rsidP="006166C1">
      <w:pPr>
        <w:pStyle w:val="Prrafodelista"/>
        <w:numPr>
          <w:ilvl w:val="0"/>
          <w:numId w:val="1"/>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Las </w:t>
      </w:r>
      <w:r w:rsidR="002D32B0" w:rsidRPr="0060123C">
        <w:rPr>
          <w:rFonts w:ascii="Verdana" w:hAnsi="Verdana"/>
          <w:color w:val="000000" w:themeColor="text1"/>
          <w:sz w:val="20"/>
          <w:szCs w:val="20"/>
        </w:rPr>
        <w:t>diez</w:t>
      </w:r>
      <w:r w:rsidR="00D53691" w:rsidRPr="0060123C">
        <w:rPr>
          <w:rFonts w:ascii="Verdana" w:hAnsi="Verdana"/>
          <w:color w:val="000000" w:themeColor="text1"/>
          <w:sz w:val="20"/>
          <w:szCs w:val="20"/>
        </w:rPr>
        <w:t xml:space="preserve"> R</w:t>
      </w:r>
      <w:r w:rsidRPr="0060123C">
        <w:rPr>
          <w:rFonts w:ascii="Verdana" w:hAnsi="Verdana"/>
          <w:color w:val="000000" w:themeColor="text1"/>
          <w:sz w:val="20"/>
          <w:szCs w:val="20"/>
        </w:rPr>
        <w:t xml:space="preserve">esoluciones de supervisión de cumplimiento de </w:t>
      </w:r>
      <w:r w:rsidR="00D53691" w:rsidRPr="0060123C">
        <w:rPr>
          <w:rFonts w:ascii="Verdana" w:hAnsi="Verdana"/>
          <w:color w:val="000000" w:themeColor="text1"/>
          <w:sz w:val="20"/>
          <w:szCs w:val="20"/>
        </w:rPr>
        <w:t>S</w:t>
      </w:r>
      <w:r w:rsidRPr="0060123C">
        <w:rPr>
          <w:rFonts w:ascii="Verdana" w:hAnsi="Verdana"/>
          <w:color w:val="000000" w:themeColor="text1"/>
          <w:sz w:val="20"/>
          <w:szCs w:val="20"/>
        </w:rPr>
        <w:t xml:space="preserve">entencias emitidas por la Corte en los </w:t>
      </w:r>
      <w:r w:rsidR="00D53691" w:rsidRPr="0060123C">
        <w:rPr>
          <w:rFonts w:ascii="Verdana" w:hAnsi="Verdana"/>
          <w:color w:val="000000" w:themeColor="text1"/>
          <w:sz w:val="20"/>
          <w:szCs w:val="20"/>
        </w:rPr>
        <w:t xml:space="preserve">cinco </w:t>
      </w:r>
      <w:r w:rsidRPr="0060123C">
        <w:rPr>
          <w:rFonts w:ascii="Verdana" w:hAnsi="Verdana"/>
          <w:color w:val="000000" w:themeColor="text1"/>
          <w:sz w:val="20"/>
          <w:szCs w:val="20"/>
        </w:rPr>
        <w:t>casos</w:t>
      </w:r>
      <w:r w:rsidR="006529A6" w:rsidRPr="0060123C">
        <w:rPr>
          <w:rFonts w:ascii="Verdana" w:hAnsi="Verdana"/>
          <w:color w:val="000000" w:themeColor="text1"/>
          <w:sz w:val="20"/>
          <w:szCs w:val="20"/>
        </w:rPr>
        <w:t xml:space="preserve"> </w:t>
      </w:r>
      <w:r w:rsidR="006166C1" w:rsidRPr="0060123C">
        <w:rPr>
          <w:rFonts w:ascii="Verdana" w:hAnsi="Verdana"/>
          <w:color w:val="000000" w:themeColor="text1"/>
          <w:sz w:val="20"/>
          <w:szCs w:val="20"/>
        </w:rPr>
        <w:t xml:space="preserve">entre </w:t>
      </w:r>
      <w:r w:rsidR="002C6E20" w:rsidRPr="0060123C">
        <w:rPr>
          <w:rFonts w:ascii="Verdana" w:hAnsi="Verdana"/>
          <w:color w:val="000000" w:themeColor="text1"/>
          <w:sz w:val="20"/>
          <w:szCs w:val="20"/>
        </w:rPr>
        <w:t>octubre de 2015</w:t>
      </w:r>
      <w:r w:rsidR="006166C1" w:rsidRPr="0060123C">
        <w:rPr>
          <w:rFonts w:ascii="Verdana" w:hAnsi="Verdana"/>
          <w:color w:val="000000" w:themeColor="text1"/>
          <w:sz w:val="20"/>
          <w:szCs w:val="20"/>
        </w:rPr>
        <w:t xml:space="preserve"> </w:t>
      </w:r>
      <w:r w:rsidR="002C6E20" w:rsidRPr="0060123C">
        <w:rPr>
          <w:rFonts w:ascii="Verdana" w:hAnsi="Verdana"/>
          <w:color w:val="000000" w:themeColor="text1"/>
          <w:sz w:val="20"/>
          <w:szCs w:val="20"/>
        </w:rPr>
        <w:t xml:space="preserve">y </w:t>
      </w:r>
      <w:r w:rsidR="006529A6" w:rsidRPr="0060123C">
        <w:rPr>
          <w:rFonts w:ascii="Verdana" w:hAnsi="Verdana"/>
          <w:color w:val="000000" w:themeColor="text1"/>
          <w:sz w:val="20"/>
          <w:szCs w:val="20"/>
        </w:rPr>
        <w:t>julio de 2020</w:t>
      </w:r>
      <w:r w:rsidR="00B94017" w:rsidRPr="0060123C">
        <w:rPr>
          <w:rStyle w:val="Refdenotaalpie"/>
          <w:rFonts w:ascii="Verdana" w:hAnsi="Verdana"/>
          <w:i/>
          <w:iCs/>
          <w:color w:val="000000" w:themeColor="text1"/>
          <w:sz w:val="20"/>
          <w:szCs w:val="20"/>
        </w:rPr>
        <w:footnoteReference w:id="3"/>
      </w:r>
      <w:r w:rsidR="00D53691" w:rsidRPr="0060123C">
        <w:rPr>
          <w:rFonts w:ascii="Verdana" w:hAnsi="Verdana"/>
          <w:i/>
          <w:iCs/>
          <w:color w:val="000000" w:themeColor="text1"/>
          <w:sz w:val="20"/>
          <w:szCs w:val="20"/>
        </w:rPr>
        <w:t>.</w:t>
      </w:r>
    </w:p>
    <w:p w14:paraId="08E56159" w14:textId="1DECBF03" w:rsidR="00967246" w:rsidRPr="0060123C" w:rsidRDefault="000C31CC" w:rsidP="006166C1">
      <w:pPr>
        <w:pStyle w:val="Prrafodelista"/>
        <w:numPr>
          <w:ilvl w:val="0"/>
          <w:numId w:val="1"/>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Los informes presentados por el Estado entre diciembre de 2017 y </w:t>
      </w:r>
      <w:r w:rsidR="00784BFF" w:rsidRPr="0060123C">
        <w:rPr>
          <w:rFonts w:ascii="Verdana" w:hAnsi="Verdana"/>
          <w:color w:val="000000" w:themeColor="text1"/>
          <w:sz w:val="20"/>
          <w:szCs w:val="20"/>
        </w:rPr>
        <w:t>febrero</w:t>
      </w:r>
      <w:r w:rsidRPr="0060123C">
        <w:rPr>
          <w:rFonts w:ascii="Verdana" w:hAnsi="Verdana"/>
          <w:color w:val="000000" w:themeColor="text1"/>
          <w:sz w:val="20"/>
          <w:szCs w:val="20"/>
        </w:rPr>
        <w:t xml:space="preserve"> de 202</w:t>
      </w:r>
      <w:r w:rsidR="00784BFF" w:rsidRPr="0060123C">
        <w:rPr>
          <w:rFonts w:ascii="Verdana" w:hAnsi="Verdana"/>
          <w:color w:val="000000" w:themeColor="text1"/>
          <w:sz w:val="20"/>
          <w:szCs w:val="20"/>
        </w:rPr>
        <w:t>2</w:t>
      </w:r>
      <w:r w:rsidRPr="0060123C">
        <w:rPr>
          <w:rFonts w:ascii="Verdana" w:hAnsi="Verdana"/>
          <w:color w:val="000000" w:themeColor="text1"/>
          <w:sz w:val="20"/>
          <w:szCs w:val="20"/>
        </w:rPr>
        <w:t xml:space="preserve"> </w:t>
      </w:r>
      <w:r w:rsidR="004274DD" w:rsidRPr="0060123C">
        <w:rPr>
          <w:rFonts w:ascii="Verdana" w:hAnsi="Verdana"/>
          <w:color w:val="000000" w:themeColor="text1"/>
          <w:sz w:val="20"/>
          <w:szCs w:val="20"/>
        </w:rPr>
        <w:t xml:space="preserve">en cado uno de </w:t>
      </w:r>
      <w:r w:rsidRPr="0060123C">
        <w:rPr>
          <w:rFonts w:ascii="Verdana" w:hAnsi="Verdana"/>
          <w:color w:val="000000" w:themeColor="text1"/>
          <w:sz w:val="20"/>
          <w:szCs w:val="20"/>
        </w:rPr>
        <w:t>los cinco casos.</w:t>
      </w:r>
    </w:p>
    <w:p w14:paraId="7B7822AA" w14:textId="7B6A50DE" w:rsidR="0073034A" w:rsidRPr="0060123C" w:rsidRDefault="000C31CC" w:rsidP="006166C1">
      <w:pPr>
        <w:pStyle w:val="Prrafodelista"/>
        <w:numPr>
          <w:ilvl w:val="0"/>
          <w:numId w:val="1"/>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lastRenderedPageBreak/>
        <w:t>Los escritos presentados por los representantes de las víctimas (en adelante “los representantes”)</w:t>
      </w:r>
      <w:r w:rsidR="00967246" w:rsidRPr="0060123C">
        <w:rPr>
          <w:rStyle w:val="Refdenotaalpie"/>
          <w:rFonts w:ascii="Verdana" w:hAnsi="Verdana"/>
          <w:color w:val="000000" w:themeColor="text1"/>
          <w:sz w:val="20"/>
          <w:szCs w:val="20"/>
        </w:rPr>
        <w:footnoteReference w:id="4"/>
      </w:r>
      <w:r w:rsidRPr="0060123C">
        <w:rPr>
          <w:rFonts w:ascii="Verdana" w:hAnsi="Verdana"/>
          <w:color w:val="000000" w:themeColor="text1"/>
          <w:sz w:val="20"/>
          <w:szCs w:val="20"/>
        </w:rPr>
        <w:t xml:space="preserve"> entre </w:t>
      </w:r>
      <w:r w:rsidR="00967246" w:rsidRPr="0060123C">
        <w:rPr>
          <w:rFonts w:ascii="Verdana" w:hAnsi="Verdana"/>
          <w:color w:val="000000" w:themeColor="text1"/>
          <w:sz w:val="20"/>
          <w:szCs w:val="20"/>
        </w:rPr>
        <w:t>febrero de 2018</w:t>
      </w:r>
      <w:r w:rsidRPr="0060123C">
        <w:rPr>
          <w:rFonts w:ascii="Verdana" w:hAnsi="Verdana"/>
          <w:color w:val="000000" w:themeColor="text1"/>
          <w:sz w:val="20"/>
          <w:szCs w:val="20"/>
        </w:rPr>
        <w:t xml:space="preserve"> y </w:t>
      </w:r>
      <w:r w:rsidR="0053541E" w:rsidRPr="0060123C">
        <w:rPr>
          <w:rFonts w:ascii="Verdana" w:hAnsi="Verdana"/>
          <w:color w:val="000000" w:themeColor="text1"/>
          <w:sz w:val="20"/>
          <w:szCs w:val="20"/>
        </w:rPr>
        <w:t xml:space="preserve">enero </w:t>
      </w:r>
      <w:r w:rsidR="00967246" w:rsidRPr="0060123C">
        <w:rPr>
          <w:rFonts w:ascii="Verdana" w:hAnsi="Verdana" w:cs="Arial"/>
          <w:color w:val="000000" w:themeColor="text1"/>
          <w:sz w:val="20"/>
          <w:szCs w:val="20"/>
        </w:rPr>
        <w:t>de 202</w:t>
      </w:r>
      <w:r w:rsidR="0053541E" w:rsidRPr="0060123C">
        <w:rPr>
          <w:rFonts w:ascii="Verdana" w:hAnsi="Verdana" w:cs="Arial"/>
          <w:color w:val="000000" w:themeColor="text1"/>
          <w:sz w:val="20"/>
          <w:szCs w:val="20"/>
        </w:rPr>
        <w:t>2</w:t>
      </w:r>
      <w:r w:rsidR="00967246" w:rsidRPr="0060123C">
        <w:rPr>
          <w:rFonts w:ascii="Verdana" w:hAnsi="Verdana" w:cs="Arial"/>
          <w:color w:val="000000" w:themeColor="text1"/>
          <w:sz w:val="20"/>
          <w:szCs w:val="20"/>
        </w:rPr>
        <w:t xml:space="preserve"> </w:t>
      </w:r>
      <w:r w:rsidR="004274DD" w:rsidRPr="0060123C">
        <w:rPr>
          <w:rFonts w:ascii="Verdana" w:hAnsi="Verdana"/>
          <w:color w:val="000000" w:themeColor="text1"/>
          <w:sz w:val="20"/>
          <w:szCs w:val="20"/>
        </w:rPr>
        <w:t>en cada uno de</w:t>
      </w:r>
      <w:r w:rsidRPr="0060123C">
        <w:rPr>
          <w:rFonts w:ascii="Verdana" w:hAnsi="Verdana"/>
          <w:color w:val="000000" w:themeColor="text1"/>
          <w:sz w:val="20"/>
          <w:szCs w:val="20"/>
        </w:rPr>
        <w:t xml:space="preserve"> los c</w:t>
      </w:r>
      <w:r w:rsidR="00967246" w:rsidRPr="0060123C">
        <w:rPr>
          <w:rFonts w:ascii="Verdana" w:hAnsi="Verdana"/>
          <w:color w:val="000000" w:themeColor="text1"/>
          <w:sz w:val="20"/>
          <w:szCs w:val="20"/>
        </w:rPr>
        <w:t>inco</w:t>
      </w:r>
      <w:r w:rsidRPr="0060123C">
        <w:rPr>
          <w:rFonts w:ascii="Verdana" w:hAnsi="Verdana"/>
          <w:color w:val="000000" w:themeColor="text1"/>
          <w:sz w:val="20"/>
          <w:szCs w:val="20"/>
        </w:rPr>
        <w:t xml:space="preserve"> casos</w:t>
      </w:r>
      <w:r w:rsidR="005A5DC5" w:rsidRPr="0060123C">
        <w:rPr>
          <w:rFonts w:ascii="Verdana" w:hAnsi="Verdana"/>
          <w:color w:val="000000" w:themeColor="text1"/>
          <w:sz w:val="20"/>
          <w:szCs w:val="20"/>
        </w:rPr>
        <w:t xml:space="preserve">, así como </w:t>
      </w:r>
      <w:r w:rsidR="005A5DC5" w:rsidRPr="0060123C">
        <w:rPr>
          <w:rFonts w:ascii="Verdana" w:hAnsi="Verdana" w:cs="Verdana"/>
          <w:color w:val="000000" w:themeColor="text1"/>
          <w:sz w:val="20"/>
          <w:szCs w:val="20"/>
        </w:rPr>
        <w:t>e</w:t>
      </w:r>
      <w:r w:rsidR="005D1833" w:rsidRPr="0060123C">
        <w:rPr>
          <w:rFonts w:ascii="Verdana" w:hAnsi="Verdana" w:cs="Verdana"/>
          <w:color w:val="000000" w:themeColor="text1"/>
          <w:sz w:val="20"/>
          <w:szCs w:val="20"/>
        </w:rPr>
        <w:t>l escrito</w:t>
      </w:r>
      <w:r w:rsidR="00A00EAA" w:rsidRPr="0060123C">
        <w:rPr>
          <w:rFonts w:ascii="Verdana" w:hAnsi="Verdana" w:cs="Verdana"/>
          <w:color w:val="000000" w:themeColor="text1"/>
          <w:sz w:val="20"/>
          <w:szCs w:val="20"/>
        </w:rPr>
        <w:t xml:space="preserve"> remitido el 15 de diciembre de 2021 por </w:t>
      </w:r>
      <w:r w:rsidR="005D1833" w:rsidRPr="0060123C">
        <w:rPr>
          <w:rFonts w:ascii="Verdana" w:hAnsi="Verdana" w:cs="Verdana"/>
          <w:color w:val="000000" w:themeColor="text1"/>
          <w:sz w:val="20"/>
          <w:szCs w:val="20"/>
        </w:rPr>
        <w:t xml:space="preserve">la señora Rosa Elvira Sánchez </w:t>
      </w:r>
      <w:proofErr w:type="spellStart"/>
      <w:r w:rsidR="005D1833" w:rsidRPr="0060123C">
        <w:rPr>
          <w:rFonts w:ascii="Verdana" w:hAnsi="Verdana" w:cs="Verdana"/>
          <w:color w:val="000000" w:themeColor="text1"/>
          <w:sz w:val="20"/>
          <w:szCs w:val="20"/>
        </w:rPr>
        <w:t>Saenz</w:t>
      </w:r>
      <w:proofErr w:type="spellEnd"/>
      <w:r w:rsidR="005D1833" w:rsidRPr="0060123C">
        <w:rPr>
          <w:rFonts w:ascii="Verdana" w:hAnsi="Verdana" w:cs="Verdana"/>
          <w:color w:val="000000" w:themeColor="text1"/>
          <w:sz w:val="20"/>
          <w:szCs w:val="20"/>
        </w:rPr>
        <w:t>, viuda del señor Alberto Canales Huapaya.</w:t>
      </w:r>
    </w:p>
    <w:p w14:paraId="43F5EA5A" w14:textId="4A2D810C" w:rsidR="00A87754" w:rsidRPr="0060123C" w:rsidRDefault="00967246" w:rsidP="00A87754">
      <w:pPr>
        <w:pStyle w:val="Prrafodelista"/>
        <w:numPr>
          <w:ilvl w:val="0"/>
          <w:numId w:val="1"/>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Los escritos de observaciones presentados por la Comisión Interamericana de Derechos Humanos (en adelante “la Comisión Interamericana” o “la Comisión”) entre </w:t>
      </w:r>
      <w:r w:rsidR="0073034A" w:rsidRPr="0060123C">
        <w:rPr>
          <w:rFonts w:ascii="Verdana" w:hAnsi="Verdana" w:cs="55kctr"/>
          <w:color w:val="000000" w:themeColor="text1"/>
          <w:sz w:val="20"/>
          <w:szCs w:val="20"/>
        </w:rPr>
        <w:t xml:space="preserve">junio de 2018 </w:t>
      </w:r>
      <w:r w:rsidRPr="0060123C">
        <w:rPr>
          <w:rFonts w:ascii="Verdana" w:hAnsi="Verdana"/>
          <w:color w:val="000000" w:themeColor="text1"/>
          <w:sz w:val="20"/>
          <w:szCs w:val="20"/>
        </w:rPr>
        <w:t xml:space="preserve">y </w:t>
      </w:r>
      <w:r w:rsidR="0073034A" w:rsidRPr="0060123C">
        <w:rPr>
          <w:rFonts w:ascii="Verdana" w:hAnsi="Verdana" w:cs="Cambria"/>
          <w:color w:val="000000" w:themeColor="text1"/>
          <w:sz w:val="20"/>
          <w:szCs w:val="20"/>
        </w:rPr>
        <w:t>enero de 2022</w:t>
      </w:r>
      <w:r w:rsidR="0073034A" w:rsidRPr="0060123C">
        <w:rPr>
          <w:rFonts w:ascii="Verdana" w:hAnsi="Verdana"/>
          <w:i/>
          <w:iCs/>
          <w:color w:val="000000" w:themeColor="text1"/>
          <w:sz w:val="20"/>
          <w:szCs w:val="20"/>
        </w:rPr>
        <w:t xml:space="preserve"> </w:t>
      </w:r>
      <w:r w:rsidR="00F23297" w:rsidRPr="0060123C">
        <w:rPr>
          <w:rFonts w:ascii="Verdana" w:hAnsi="Verdana"/>
          <w:color w:val="000000" w:themeColor="text1"/>
          <w:sz w:val="20"/>
          <w:szCs w:val="20"/>
        </w:rPr>
        <w:t xml:space="preserve">en cada uno de </w:t>
      </w:r>
      <w:r w:rsidRPr="0060123C">
        <w:rPr>
          <w:rFonts w:ascii="Verdana" w:hAnsi="Verdana"/>
          <w:color w:val="000000" w:themeColor="text1"/>
          <w:sz w:val="20"/>
          <w:szCs w:val="20"/>
        </w:rPr>
        <w:t xml:space="preserve">los </w:t>
      </w:r>
      <w:r w:rsidR="0073034A" w:rsidRPr="0060123C">
        <w:rPr>
          <w:rFonts w:ascii="Verdana" w:hAnsi="Verdana"/>
          <w:color w:val="000000" w:themeColor="text1"/>
          <w:sz w:val="20"/>
          <w:szCs w:val="20"/>
        </w:rPr>
        <w:t>cinco</w:t>
      </w:r>
      <w:r w:rsidRPr="0060123C">
        <w:rPr>
          <w:rFonts w:ascii="Verdana" w:hAnsi="Verdana"/>
          <w:color w:val="000000" w:themeColor="text1"/>
          <w:sz w:val="20"/>
          <w:szCs w:val="20"/>
        </w:rPr>
        <w:t xml:space="preserve"> casos</w:t>
      </w:r>
      <w:r w:rsidR="004A4A01" w:rsidRPr="0060123C">
        <w:rPr>
          <w:rFonts w:ascii="Verdana" w:hAnsi="Verdana"/>
          <w:color w:val="000000" w:themeColor="text1"/>
          <w:sz w:val="20"/>
          <w:szCs w:val="20"/>
        </w:rPr>
        <w:t>.</w:t>
      </w:r>
    </w:p>
    <w:bookmarkEnd w:id="0"/>
    <w:p w14:paraId="36BE39DD" w14:textId="77777777" w:rsidR="00A87754" w:rsidRPr="0060123C" w:rsidRDefault="00A87754" w:rsidP="00A87754">
      <w:pPr>
        <w:pStyle w:val="Prrafodelista"/>
        <w:spacing w:before="120" w:after="120"/>
        <w:ind w:left="0"/>
        <w:jc w:val="both"/>
        <w:rPr>
          <w:rFonts w:ascii="Verdana" w:hAnsi="Verdana"/>
          <w:color w:val="000000" w:themeColor="text1"/>
          <w:sz w:val="20"/>
          <w:szCs w:val="20"/>
        </w:rPr>
      </w:pPr>
    </w:p>
    <w:p w14:paraId="3ABEA914" w14:textId="77777777" w:rsidR="00A87754" w:rsidRPr="0060123C" w:rsidRDefault="00A87754" w:rsidP="00A87754">
      <w:pPr>
        <w:pStyle w:val="Prrafodelista"/>
        <w:spacing w:before="120" w:after="120"/>
        <w:ind w:left="0"/>
        <w:jc w:val="both"/>
        <w:rPr>
          <w:rFonts w:ascii="Verdana" w:hAnsi="Verdana"/>
          <w:b/>
          <w:color w:val="000000" w:themeColor="text1"/>
          <w:sz w:val="20"/>
          <w:szCs w:val="20"/>
        </w:rPr>
      </w:pPr>
      <w:r w:rsidRPr="0060123C">
        <w:rPr>
          <w:rFonts w:ascii="Verdana" w:hAnsi="Verdana"/>
          <w:b/>
          <w:color w:val="000000" w:themeColor="text1"/>
          <w:sz w:val="20"/>
          <w:szCs w:val="20"/>
        </w:rPr>
        <w:t xml:space="preserve">CONSIDERANDO QUE: </w:t>
      </w:r>
    </w:p>
    <w:p w14:paraId="53D202A9" w14:textId="10F67CB9" w:rsidR="00BC0B38" w:rsidRPr="0060123C" w:rsidRDefault="00A87754" w:rsidP="0080149E">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En el ejercicio de su función jurisdiccional de supervisar el cumplimiento de sus decisiones</w:t>
      </w:r>
      <w:r w:rsidRPr="0060123C">
        <w:rPr>
          <w:rStyle w:val="Refdenotaalpie"/>
          <w:rFonts w:ascii="Verdana" w:hAnsi="Verdana"/>
          <w:color w:val="000000" w:themeColor="text1"/>
          <w:sz w:val="20"/>
          <w:szCs w:val="20"/>
        </w:rPr>
        <w:footnoteReference w:id="5"/>
      </w:r>
      <w:r w:rsidRPr="0060123C">
        <w:rPr>
          <w:rFonts w:ascii="Verdana" w:hAnsi="Verdana"/>
          <w:color w:val="000000" w:themeColor="text1"/>
          <w:sz w:val="20"/>
          <w:szCs w:val="20"/>
        </w:rPr>
        <w:t>, la Corte ha venido supervisando la ejecución de las cinco Sentencias emitidas en</w:t>
      </w:r>
      <w:r w:rsidR="00F23297" w:rsidRPr="0060123C">
        <w:rPr>
          <w:rFonts w:ascii="Verdana" w:hAnsi="Verdana"/>
          <w:color w:val="000000" w:themeColor="text1"/>
          <w:sz w:val="20"/>
          <w:szCs w:val="20"/>
        </w:rPr>
        <w:t>tre</w:t>
      </w:r>
      <w:r w:rsidRPr="0060123C">
        <w:rPr>
          <w:rFonts w:ascii="Verdana" w:hAnsi="Verdana"/>
          <w:color w:val="000000" w:themeColor="text1"/>
          <w:sz w:val="20"/>
          <w:szCs w:val="20"/>
        </w:rPr>
        <w:t xml:space="preserve"> los años 2014</w:t>
      </w:r>
      <w:r w:rsidR="00F23297" w:rsidRPr="0060123C">
        <w:rPr>
          <w:rFonts w:ascii="Verdana" w:hAnsi="Verdana"/>
          <w:color w:val="000000" w:themeColor="text1"/>
          <w:sz w:val="20"/>
          <w:szCs w:val="20"/>
        </w:rPr>
        <w:t xml:space="preserve"> a </w:t>
      </w:r>
      <w:r w:rsidRPr="0060123C">
        <w:rPr>
          <w:rFonts w:ascii="Verdana" w:hAnsi="Verdana"/>
          <w:color w:val="000000" w:themeColor="text1"/>
          <w:sz w:val="20"/>
          <w:szCs w:val="20"/>
        </w:rPr>
        <w:t>2017 (</w:t>
      </w:r>
      <w:r w:rsidRPr="0060123C">
        <w:rPr>
          <w:rFonts w:ascii="Verdana" w:hAnsi="Verdana"/>
          <w:i/>
          <w:iCs/>
          <w:color w:val="000000" w:themeColor="text1"/>
          <w:sz w:val="20"/>
          <w:szCs w:val="20"/>
        </w:rPr>
        <w:t>supra</w:t>
      </w:r>
      <w:r w:rsidRPr="0060123C">
        <w:rPr>
          <w:rFonts w:ascii="Verdana" w:hAnsi="Verdana"/>
          <w:color w:val="000000" w:themeColor="text1"/>
          <w:sz w:val="20"/>
          <w:szCs w:val="20"/>
        </w:rPr>
        <w:t xml:space="preserve"> Visto 1). En los cinco Fallos, </w:t>
      </w:r>
      <w:r w:rsidR="00AF689F" w:rsidRPr="0060123C">
        <w:rPr>
          <w:rFonts w:ascii="Verdana" w:hAnsi="Verdana"/>
          <w:color w:val="000000" w:themeColor="text1"/>
          <w:sz w:val="20"/>
          <w:szCs w:val="20"/>
        </w:rPr>
        <w:t>como reparaci</w:t>
      </w:r>
      <w:r w:rsidR="00550349">
        <w:rPr>
          <w:rFonts w:ascii="Verdana" w:hAnsi="Verdana"/>
          <w:color w:val="000000" w:themeColor="text1"/>
          <w:sz w:val="20"/>
          <w:szCs w:val="20"/>
        </w:rPr>
        <w:t>ones</w:t>
      </w:r>
      <w:r w:rsidR="00AF689F" w:rsidRPr="0060123C">
        <w:rPr>
          <w:rFonts w:ascii="Verdana" w:hAnsi="Verdana"/>
          <w:color w:val="000000" w:themeColor="text1"/>
          <w:sz w:val="20"/>
          <w:szCs w:val="20"/>
        </w:rPr>
        <w:t xml:space="preserve">, </w:t>
      </w:r>
      <w:r w:rsidRPr="0060123C">
        <w:rPr>
          <w:rFonts w:ascii="Verdana" w:hAnsi="Verdana"/>
          <w:sz w:val="20"/>
          <w:szCs w:val="20"/>
        </w:rPr>
        <w:t xml:space="preserve">la Corte dispuso </w:t>
      </w:r>
      <w:r w:rsidR="00AF689F" w:rsidRPr="0060123C">
        <w:rPr>
          <w:rFonts w:ascii="Verdana" w:hAnsi="Verdana"/>
          <w:sz w:val="20"/>
          <w:szCs w:val="20"/>
        </w:rPr>
        <w:t>medidas de satisfacción y el pago de indemnizaciones compensatorias de los daños materiales e inmateriales</w:t>
      </w:r>
      <w:r w:rsidR="00336601" w:rsidRPr="0060123C">
        <w:rPr>
          <w:rFonts w:ascii="Verdana" w:hAnsi="Verdana"/>
          <w:sz w:val="20"/>
          <w:szCs w:val="20"/>
        </w:rPr>
        <w:t xml:space="preserve"> </w:t>
      </w:r>
      <w:r w:rsidR="007448A9" w:rsidRPr="0060123C">
        <w:rPr>
          <w:rFonts w:ascii="Verdana" w:hAnsi="Verdana"/>
          <w:sz w:val="20"/>
          <w:szCs w:val="20"/>
        </w:rPr>
        <w:t xml:space="preserve">de las víctimas </w:t>
      </w:r>
      <w:r w:rsidR="00336601" w:rsidRPr="0060123C">
        <w:rPr>
          <w:rFonts w:ascii="Verdana" w:hAnsi="Verdana"/>
          <w:sz w:val="20"/>
          <w:szCs w:val="20"/>
        </w:rPr>
        <w:t>y</w:t>
      </w:r>
      <w:r w:rsidR="00533E4C" w:rsidRPr="0060123C">
        <w:rPr>
          <w:rFonts w:ascii="Verdana" w:hAnsi="Verdana"/>
          <w:sz w:val="20"/>
          <w:szCs w:val="20"/>
        </w:rPr>
        <w:t xml:space="preserve"> el</w:t>
      </w:r>
      <w:r w:rsidR="00336601" w:rsidRPr="0060123C">
        <w:rPr>
          <w:rFonts w:ascii="Verdana" w:hAnsi="Verdana"/>
          <w:sz w:val="20"/>
          <w:szCs w:val="20"/>
        </w:rPr>
        <w:t xml:space="preserve"> reintegro de costas y gastos</w:t>
      </w:r>
      <w:r w:rsidR="00AF689F" w:rsidRPr="0060123C">
        <w:rPr>
          <w:rFonts w:ascii="Verdana" w:hAnsi="Verdana"/>
          <w:sz w:val="20"/>
          <w:szCs w:val="20"/>
        </w:rPr>
        <w:t xml:space="preserve">, y en uno de </w:t>
      </w:r>
      <w:r w:rsidR="00336601" w:rsidRPr="0060123C">
        <w:rPr>
          <w:rFonts w:ascii="Verdana" w:hAnsi="Verdana"/>
          <w:sz w:val="20"/>
          <w:szCs w:val="20"/>
        </w:rPr>
        <w:t>e</w:t>
      </w:r>
      <w:r w:rsidR="00AF689F" w:rsidRPr="0060123C">
        <w:rPr>
          <w:rFonts w:ascii="Verdana" w:hAnsi="Verdana"/>
          <w:sz w:val="20"/>
          <w:szCs w:val="20"/>
        </w:rPr>
        <w:t xml:space="preserve">sos casos también dispuso </w:t>
      </w:r>
      <w:r w:rsidR="00336601" w:rsidRPr="0060123C">
        <w:rPr>
          <w:rFonts w:ascii="Verdana" w:hAnsi="Verdana"/>
          <w:sz w:val="20"/>
          <w:szCs w:val="20"/>
        </w:rPr>
        <w:t xml:space="preserve">medidas de restitución. </w:t>
      </w:r>
      <w:r w:rsidR="00336601" w:rsidRPr="0060123C">
        <w:rPr>
          <w:rFonts w:ascii="Verdana" w:hAnsi="Verdana"/>
          <w:color w:val="000000" w:themeColor="text1"/>
          <w:sz w:val="20"/>
          <w:szCs w:val="20"/>
        </w:rPr>
        <w:t xml:space="preserve">Asimismo, </w:t>
      </w:r>
      <w:r w:rsidRPr="0060123C">
        <w:rPr>
          <w:rFonts w:ascii="Verdana" w:hAnsi="Verdana"/>
          <w:color w:val="000000" w:themeColor="text1"/>
          <w:sz w:val="20"/>
          <w:szCs w:val="20"/>
        </w:rPr>
        <w:t xml:space="preserve">en </w:t>
      </w:r>
      <w:r w:rsidR="00CE70B4" w:rsidRPr="0060123C">
        <w:rPr>
          <w:rFonts w:ascii="Verdana" w:hAnsi="Verdana"/>
          <w:color w:val="000000" w:themeColor="text1"/>
          <w:sz w:val="20"/>
          <w:szCs w:val="20"/>
        </w:rPr>
        <w:t>cuatro</w:t>
      </w:r>
      <w:r w:rsidR="007E5AA9" w:rsidRPr="0060123C">
        <w:rPr>
          <w:rFonts w:ascii="Verdana" w:hAnsi="Verdana"/>
          <w:color w:val="000000" w:themeColor="text1"/>
          <w:sz w:val="20"/>
          <w:szCs w:val="20"/>
        </w:rPr>
        <w:t xml:space="preserve"> caso</w:t>
      </w:r>
      <w:r w:rsidR="00CE70B4" w:rsidRPr="0060123C">
        <w:rPr>
          <w:rFonts w:ascii="Verdana" w:hAnsi="Verdana"/>
          <w:color w:val="000000" w:themeColor="text1"/>
          <w:sz w:val="20"/>
          <w:szCs w:val="20"/>
        </w:rPr>
        <w:t>s</w:t>
      </w:r>
      <w:r w:rsidR="0006596B" w:rsidRPr="0060123C">
        <w:rPr>
          <w:rStyle w:val="Refdenotaalpie"/>
          <w:rFonts w:ascii="Verdana" w:hAnsi="Verdana"/>
          <w:color w:val="000000" w:themeColor="text1"/>
          <w:sz w:val="20"/>
          <w:szCs w:val="20"/>
        </w:rPr>
        <w:footnoteReference w:id="6"/>
      </w:r>
      <w:r w:rsidRPr="0060123C">
        <w:rPr>
          <w:rFonts w:ascii="Verdana" w:hAnsi="Verdana"/>
          <w:color w:val="000000" w:themeColor="text1"/>
          <w:sz w:val="20"/>
          <w:szCs w:val="20"/>
        </w:rPr>
        <w:t xml:space="preserve"> </w:t>
      </w:r>
      <w:r w:rsidR="00336601" w:rsidRPr="0060123C">
        <w:rPr>
          <w:rFonts w:ascii="Verdana" w:hAnsi="Verdana"/>
          <w:color w:val="000000" w:themeColor="text1"/>
          <w:sz w:val="20"/>
          <w:szCs w:val="20"/>
        </w:rPr>
        <w:t xml:space="preserve">se ordenó </w:t>
      </w:r>
      <w:r w:rsidRPr="0060123C">
        <w:rPr>
          <w:rFonts w:ascii="Verdana" w:hAnsi="Verdana"/>
          <w:color w:val="000000" w:themeColor="text1"/>
          <w:sz w:val="20"/>
          <w:szCs w:val="20"/>
        </w:rPr>
        <w:t>el reintegro al Fondo de Asistencia Legal de Víctimas. En</w:t>
      </w:r>
      <w:r w:rsidR="00D43721" w:rsidRPr="0060123C">
        <w:rPr>
          <w:rFonts w:ascii="Verdana" w:hAnsi="Verdana"/>
          <w:color w:val="000000" w:themeColor="text1"/>
          <w:sz w:val="20"/>
          <w:szCs w:val="20"/>
        </w:rPr>
        <w:t xml:space="preserve">tre 2015 y 2020 la Corte emitió Resoluciones </w:t>
      </w:r>
      <w:r w:rsidR="003C78C1" w:rsidRPr="0060123C">
        <w:rPr>
          <w:rFonts w:ascii="Verdana" w:hAnsi="Verdana"/>
          <w:color w:val="000000" w:themeColor="text1"/>
          <w:sz w:val="20"/>
          <w:szCs w:val="20"/>
        </w:rPr>
        <w:t>(</w:t>
      </w:r>
      <w:r w:rsidR="003C78C1" w:rsidRPr="0060123C">
        <w:rPr>
          <w:rFonts w:ascii="Verdana" w:hAnsi="Verdana"/>
          <w:i/>
          <w:color w:val="000000" w:themeColor="text1"/>
          <w:sz w:val="20"/>
          <w:szCs w:val="20"/>
        </w:rPr>
        <w:t>supra</w:t>
      </w:r>
      <w:r w:rsidR="003C78C1" w:rsidRPr="0060123C">
        <w:rPr>
          <w:rFonts w:ascii="Verdana" w:hAnsi="Verdana"/>
          <w:color w:val="000000" w:themeColor="text1"/>
          <w:sz w:val="20"/>
          <w:szCs w:val="20"/>
        </w:rPr>
        <w:t xml:space="preserve"> Visto 2)</w:t>
      </w:r>
      <w:r w:rsidR="003C78C1">
        <w:rPr>
          <w:rFonts w:ascii="Verdana" w:hAnsi="Verdana"/>
          <w:color w:val="000000" w:themeColor="text1"/>
          <w:sz w:val="20"/>
          <w:szCs w:val="20"/>
        </w:rPr>
        <w:t xml:space="preserve">, </w:t>
      </w:r>
      <w:r w:rsidR="00D43721" w:rsidRPr="0060123C">
        <w:rPr>
          <w:rFonts w:ascii="Verdana" w:hAnsi="Verdana"/>
          <w:color w:val="000000" w:themeColor="text1"/>
          <w:sz w:val="20"/>
          <w:szCs w:val="20"/>
        </w:rPr>
        <w:t xml:space="preserve">en las cuales declaró que el Estado dio cumplimiento a </w:t>
      </w:r>
      <w:r w:rsidR="0006596B" w:rsidRPr="0060123C">
        <w:rPr>
          <w:rFonts w:ascii="Verdana" w:hAnsi="Verdana"/>
          <w:color w:val="000000" w:themeColor="text1"/>
          <w:sz w:val="20"/>
          <w:szCs w:val="20"/>
        </w:rPr>
        <w:t xml:space="preserve">los referidos reintegros </w:t>
      </w:r>
      <w:r w:rsidR="00336601" w:rsidRPr="0060123C">
        <w:rPr>
          <w:rFonts w:ascii="Verdana" w:hAnsi="Verdana"/>
          <w:color w:val="000000" w:themeColor="text1"/>
          <w:sz w:val="20"/>
          <w:szCs w:val="20"/>
        </w:rPr>
        <w:t xml:space="preserve">al Fondo de Asistencia </w:t>
      </w:r>
      <w:r w:rsidR="0006596B" w:rsidRPr="0060123C">
        <w:rPr>
          <w:rFonts w:ascii="Verdana" w:hAnsi="Verdana"/>
          <w:color w:val="000000" w:themeColor="text1"/>
          <w:sz w:val="20"/>
          <w:szCs w:val="20"/>
        </w:rPr>
        <w:t xml:space="preserve">y a </w:t>
      </w:r>
      <w:r w:rsidR="00F23297" w:rsidRPr="0060123C">
        <w:rPr>
          <w:rFonts w:ascii="Verdana" w:hAnsi="Verdana"/>
          <w:color w:val="000000" w:themeColor="text1"/>
          <w:sz w:val="20"/>
          <w:szCs w:val="20"/>
        </w:rPr>
        <w:t xml:space="preserve">la mayoría de las </w:t>
      </w:r>
      <w:r w:rsidR="00D43721" w:rsidRPr="0060123C">
        <w:rPr>
          <w:rFonts w:ascii="Verdana" w:hAnsi="Verdana"/>
          <w:color w:val="000000" w:themeColor="text1"/>
          <w:sz w:val="20"/>
          <w:szCs w:val="20"/>
        </w:rPr>
        <w:t>reparaciones ordenadas</w:t>
      </w:r>
      <w:r w:rsidR="005D58AA" w:rsidRPr="0060123C">
        <w:rPr>
          <w:rStyle w:val="Refdenotaalpie"/>
          <w:rFonts w:ascii="Verdana" w:hAnsi="Verdana"/>
          <w:color w:val="000000" w:themeColor="text1"/>
          <w:sz w:val="20"/>
          <w:szCs w:val="20"/>
        </w:rPr>
        <w:footnoteReference w:id="7"/>
      </w:r>
      <w:r w:rsidRPr="0060123C">
        <w:rPr>
          <w:rFonts w:ascii="Verdana" w:hAnsi="Verdana"/>
          <w:color w:val="000000" w:themeColor="text1"/>
          <w:sz w:val="20"/>
          <w:szCs w:val="20"/>
        </w:rPr>
        <w:t>.</w:t>
      </w:r>
    </w:p>
    <w:p w14:paraId="460E6FB6" w14:textId="54CE455F" w:rsidR="0080149E" w:rsidRPr="0060123C" w:rsidRDefault="00D43721" w:rsidP="0080149E">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Actualmente, </w:t>
      </w:r>
      <w:r w:rsidR="00C5523D" w:rsidRPr="0060123C">
        <w:rPr>
          <w:rFonts w:ascii="Verdana" w:hAnsi="Verdana"/>
          <w:color w:val="000000" w:themeColor="text1"/>
          <w:sz w:val="20"/>
          <w:szCs w:val="20"/>
        </w:rPr>
        <w:t xml:space="preserve">las únicas medidas </w:t>
      </w:r>
      <w:r w:rsidRPr="0060123C">
        <w:rPr>
          <w:rFonts w:ascii="Verdana" w:hAnsi="Verdana"/>
          <w:color w:val="000000" w:themeColor="text1"/>
          <w:sz w:val="20"/>
          <w:szCs w:val="20"/>
        </w:rPr>
        <w:t>pendiente</w:t>
      </w:r>
      <w:r w:rsidR="00095AFE" w:rsidRPr="0060123C">
        <w:rPr>
          <w:rFonts w:ascii="Verdana" w:hAnsi="Verdana"/>
          <w:color w:val="000000" w:themeColor="text1"/>
          <w:sz w:val="20"/>
          <w:szCs w:val="20"/>
        </w:rPr>
        <w:t>s</w:t>
      </w:r>
      <w:r w:rsidRPr="0060123C">
        <w:rPr>
          <w:rFonts w:ascii="Verdana" w:hAnsi="Verdana"/>
          <w:color w:val="000000" w:themeColor="text1"/>
          <w:sz w:val="20"/>
          <w:szCs w:val="20"/>
        </w:rPr>
        <w:t xml:space="preserve"> de cumplimiento</w:t>
      </w:r>
      <w:r w:rsidR="0080149E" w:rsidRPr="0060123C">
        <w:rPr>
          <w:rFonts w:ascii="Verdana" w:hAnsi="Verdana"/>
          <w:color w:val="000000" w:themeColor="text1"/>
          <w:sz w:val="20"/>
          <w:szCs w:val="20"/>
        </w:rPr>
        <w:t xml:space="preserve"> </w:t>
      </w:r>
      <w:r w:rsidR="00C5523D" w:rsidRPr="0060123C">
        <w:rPr>
          <w:rFonts w:ascii="Verdana" w:hAnsi="Verdana"/>
          <w:color w:val="000000" w:themeColor="text1"/>
          <w:sz w:val="20"/>
          <w:szCs w:val="20"/>
        </w:rPr>
        <w:t xml:space="preserve">en los referidos cinco casos son </w:t>
      </w:r>
      <w:r w:rsidR="00A00EAA" w:rsidRPr="0060123C">
        <w:rPr>
          <w:rFonts w:ascii="Verdana" w:hAnsi="Verdana"/>
          <w:color w:val="000000" w:themeColor="text1"/>
          <w:sz w:val="20"/>
          <w:szCs w:val="20"/>
        </w:rPr>
        <w:t>los</w:t>
      </w:r>
      <w:r w:rsidRPr="0060123C">
        <w:rPr>
          <w:rFonts w:ascii="Verdana" w:hAnsi="Verdana"/>
          <w:color w:val="000000" w:themeColor="text1"/>
          <w:sz w:val="20"/>
          <w:szCs w:val="20"/>
        </w:rPr>
        <w:t xml:space="preserve"> pago</w:t>
      </w:r>
      <w:r w:rsidR="00A00EAA" w:rsidRPr="0060123C">
        <w:rPr>
          <w:rFonts w:ascii="Verdana" w:hAnsi="Verdana"/>
          <w:color w:val="000000" w:themeColor="text1"/>
          <w:sz w:val="20"/>
          <w:szCs w:val="20"/>
        </w:rPr>
        <w:t>s</w:t>
      </w:r>
      <w:r w:rsidRPr="0060123C">
        <w:rPr>
          <w:rFonts w:ascii="Verdana" w:hAnsi="Verdana"/>
          <w:color w:val="000000" w:themeColor="text1"/>
          <w:sz w:val="20"/>
          <w:szCs w:val="20"/>
        </w:rPr>
        <w:t xml:space="preserve"> de</w:t>
      </w:r>
      <w:r w:rsidR="0006596B" w:rsidRPr="0060123C">
        <w:rPr>
          <w:rFonts w:ascii="Verdana" w:hAnsi="Verdana"/>
          <w:color w:val="000000" w:themeColor="text1"/>
          <w:sz w:val="20"/>
          <w:szCs w:val="20"/>
        </w:rPr>
        <w:t xml:space="preserve"> las</w:t>
      </w:r>
      <w:r w:rsidRPr="0060123C">
        <w:rPr>
          <w:rFonts w:ascii="Verdana" w:hAnsi="Verdana"/>
          <w:color w:val="000000" w:themeColor="text1"/>
          <w:sz w:val="20"/>
          <w:szCs w:val="20"/>
        </w:rPr>
        <w:t xml:space="preserve"> indemnizaciones</w:t>
      </w:r>
      <w:r w:rsidR="007448A9" w:rsidRPr="0060123C">
        <w:rPr>
          <w:rFonts w:ascii="Verdana" w:hAnsi="Verdana"/>
          <w:color w:val="000000" w:themeColor="text1"/>
          <w:sz w:val="20"/>
          <w:szCs w:val="20"/>
        </w:rPr>
        <w:t xml:space="preserve"> </w:t>
      </w:r>
      <w:r w:rsidR="0006596B" w:rsidRPr="0060123C">
        <w:rPr>
          <w:rFonts w:ascii="Verdana" w:hAnsi="Verdana"/>
          <w:color w:val="000000" w:themeColor="text1"/>
          <w:sz w:val="20"/>
          <w:szCs w:val="20"/>
        </w:rPr>
        <w:t>y</w:t>
      </w:r>
      <w:r w:rsidRPr="0060123C">
        <w:rPr>
          <w:rFonts w:ascii="Verdana" w:hAnsi="Verdana"/>
          <w:color w:val="000000" w:themeColor="text1"/>
          <w:sz w:val="20"/>
          <w:szCs w:val="20"/>
        </w:rPr>
        <w:t xml:space="preserve"> </w:t>
      </w:r>
      <w:r w:rsidR="00A00EAA" w:rsidRPr="0060123C">
        <w:rPr>
          <w:rFonts w:ascii="Verdana" w:hAnsi="Verdana"/>
          <w:color w:val="000000" w:themeColor="text1"/>
          <w:sz w:val="20"/>
          <w:szCs w:val="20"/>
        </w:rPr>
        <w:t>los</w:t>
      </w:r>
      <w:r w:rsidRPr="0060123C">
        <w:rPr>
          <w:rFonts w:ascii="Verdana" w:hAnsi="Verdana"/>
          <w:color w:val="000000" w:themeColor="text1"/>
          <w:sz w:val="20"/>
          <w:szCs w:val="20"/>
        </w:rPr>
        <w:t xml:space="preserve"> reintegro</w:t>
      </w:r>
      <w:r w:rsidR="00A00EAA" w:rsidRPr="0060123C">
        <w:rPr>
          <w:rFonts w:ascii="Verdana" w:hAnsi="Verdana"/>
          <w:color w:val="000000" w:themeColor="text1"/>
          <w:sz w:val="20"/>
          <w:szCs w:val="20"/>
        </w:rPr>
        <w:t>s</w:t>
      </w:r>
      <w:r w:rsidRPr="0060123C">
        <w:rPr>
          <w:rFonts w:ascii="Verdana" w:hAnsi="Verdana"/>
          <w:color w:val="000000" w:themeColor="text1"/>
          <w:sz w:val="20"/>
          <w:szCs w:val="20"/>
        </w:rPr>
        <w:t xml:space="preserve"> de costas y gastos</w:t>
      </w:r>
      <w:r w:rsidR="0080149E" w:rsidRPr="0060123C">
        <w:rPr>
          <w:rFonts w:ascii="Verdana" w:hAnsi="Verdana"/>
          <w:color w:val="000000" w:themeColor="text1"/>
          <w:sz w:val="20"/>
          <w:szCs w:val="20"/>
        </w:rPr>
        <w:t xml:space="preserve"> </w:t>
      </w:r>
      <w:r w:rsidR="00943264" w:rsidRPr="0060123C">
        <w:rPr>
          <w:rFonts w:ascii="Verdana" w:hAnsi="Verdana"/>
          <w:color w:val="000000" w:themeColor="text1"/>
          <w:sz w:val="20"/>
          <w:szCs w:val="20"/>
        </w:rPr>
        <w:t>(</w:t>
      </w:r>
      <w:r w:rsidR="00943264" w:rsidRPr="0060123C">
        <w:rPr>
          <w:rFonts w:ascii="Verdana" w:hAnsi="Verdana"/>
          <w:i/>
          <w:iCs/>
          <w:color w:val="000000" w:themeColor="text1"/>
          <w:sz w:val="20"/>
          <w:szCs w:val="20"/>
        </w:rPr>
        <w:t>infra</w:t>
      </w:r>
      <w:r w:rsidR="00943264" w:rsidRPr="0060123C">
        <w:rPr>
          <w:rFonts w:ascii="Verdana" w:hAnsi="Verdana"/>
          <w:color w:val="000000" w:themeColor="text1"/>
          <w:sz w:val="20"/>
          <w:szCs w:val="20"/>
        </w:rPr>
        <w:t xml:space="preserve"> Considerando 4)</w:t>
      </w:r>
      <w:r w:rsidR="0080149E" w:rsidRPr="0060123C">
        <w:rPr>
          <w:rFonts w:ascii="Verdana" w:hAnsi="Verdana"/>
          <w:color w:val="000000" w:themeColor="text1"/>
          <w:sz w:val="20"/>
          <w:szCs w:val="20"/>
        </w:rPr>
        <w:t>.</w:t>
      </w:r>
      <w:r w:rsidR="00BC0B38" w:rsidRPr="0060123C">
        <w:rPr>
          <w:rFonts w:ascii="Verdana" w:hAnsi="Verdana"/>
          <w:color w:val="000000" w:themeColor="text1"/>
          <w:sz w:val="20"/>
          <w:szCs w:val="20"/>
        </w:rPr>
        <w:t xml:space="preserve"> No hay controversia entre las partes respecto</w:t>
      </w:r>
      <w:r w:rsidR="00AB258D" w:rsidRPr="0060123C">
        <w:rPr>
          <w:rFonts w:ascii="Verdana" w:hAnsi="Verdana"/>
          <w:color w:val="000000" w:themeColor="text1"/>
          <w:sz w:val="20"/>
          <w:szCs w:val="20"/>
        </w:rPr>
        <w:t xml:space="preserve"> a que estas </w:t>
      </w:r>
      <w:r w:rsidR="00BC0B38" w:rsidRPr="0060123C">
        <w:rPr>
          <w:rFonts w:ascii="Verdana" w:hAnsi="Verdana"/>
          <w:color w:val="000000" w:themeColor="text1"/>
          <w:sz w:val="20"/>
          <w:szCs w:val="20"/>
        </w:rPr>
        <w:t xml:space="preserve">medidas no han sido cumplidas por el Estado. </w:t>
      </w:r>
    </w:p>
    <w:p w14:paraId="726EB246" w14:textId="47B1FBF6" w:rsidR="00A87754" w:rsidRPr="0060123C" w:rsidRDefault="001153BE" w:rsidP="0080149E">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E</w:t>
      </w:r>
      <w:r w:rsidR="00BC0B38" w:rsidRPr="0060123C">
        <w:rPr>
          <w:rFonts w:ascii="Verdana" w:hAnsi="Verdana"/>
          <w:color w:val="000000" w:themeColor="text1"/>
          <w:sz w:val="20"/>
          <w:szCs w:val="20"/>
        </w:rPr>
        <w:t>l Tribunal emite la presente resolución con el propósito de destacar la importancia de que el Perú cumpla, a la mayor brevedad, con los pagos de esas indemnizaciones y de los montos por reintegro de costas y gastos, lo cual permitir</w:t>
      </w:r>
      <w:r w:rsidR="006021F2">
        <w:rPr>
          <w:rFonts w:ascii="Verdana" w:hAnsi="Verdana"/>
          <w:color w:val="000000" w:themeColor="text1"/>
          <w:sz w:val="20"/>
          <w:szCs w:val="20"/>
        </w:rPr>
        <w:t>á</w:t>
      </w:r>
      <w:r w:rsidR="00BC0B38" w:rsidRPr="0060123C">
        <w:rPr>
          <w:rFonts w:ascii="Verdana" w:hAnsi="Verdana"/>
          <w:color w:val="000000" w:themeColor="text1"/>
          <w:sz w:val="20"/>
          <w:szCs w:val="20"/>
        </w:rPr>
        <w:t xml:space="preserve"> valorar el archivo de los cinco casos por el cumplimiento</w:t>
      </w:r>
      <w:r w:rsidR="00FF36DF" w:rsidRPr="0060123C">
        <w:rPr>
          <w:rFonts w:ascii="Verdana" w:hAnsi="Verdana"/>
          <w:color w:val="000000" w:themeColor="text1"/>
          <w:sz w:val="20"/>
          <w:szCs w:val="20"/>
        </w:rPr>
        <w:t xml:space="preserve"> total</w:t>
      </w:r>
      <w:r w:rsidR="00BC0B38" w:rsidRPr="0060123C">
        <w:rPr>
          <w:rFonts w:ascii="Verdana" w:hAnsi="Verdana"/>
          <w:color w:val="000000" w:themeColor="text1"/>
          <w:sz w:val="20"/>
          <w:szCs w:val="20"/>
        </w:rPr>
        <w:t xml:space="preserve"> de </w:t>
      </w:r>
      <w:r w:rsidR="007448A9" w:rsidRPr="0060123C">
        <w:rPr>
          <w:rFonts w:ascii="Verdana" w:hAnsi="Verdana"/>
          <w:color w:val="000000" w:themeColor="text1"/>
          <w:sz w:val="20"/>
          <w:szCs w:val="20"/>
        </w:rPr>
        <w:t xml:space="preserve">las reparaciones. Asimismo, </w:t>
      </w:r>
      <w:r w:rsidR="00550349">
        <w:rPr>
          <w:rFonts w:ascii="Verdana" w:hAnsi="Verdana"/>
          <w:color w:val="000000" w:themeColor="text1"/>
          <w:sz w:val="20"/>
          <w:szCs w:val="20"/>
        </w:rPr>
        <w:t xml:space="preserve">la Corte </w:t>
      </w:r>
      <w:r w:rsidR="007448A9" w:rsidRPr="0060123C">
        <w:rPr>
          <w:rFonts w:ascii="Verdana" w:hAnsi="Verdana"/>
          <w:color w:val="000000" w:themeColor="text1"/>
          <w:sz w:val="20"/>
          <w:szCs w:val="20"/>
        </w:rPr>
        <w:t>estima necesario pronunciarse sobre la normativa interna a la que ha hecho referencia el Estado</w:t>
      </w:r>
      <w:r w:rsidR="00533E4C" w:rsidRPr="0060123C">
        <w:rPr>
          <w:rFonts w:ascii="Verdana" w:hAnsi="Verdana"/>
          <w:color w:val="000000" w:themeColor="text1"/>
          <w:sz w:val="20"/>
          <w:szCs w:val="20"/>
        </w:rPr>
        <w:t>,</w:t>
      </w:r>
      <w:r w:rsidR="007448A9" w:rsidRPr="0060123C">
        <w:rPr>
          <w:rFonts w:ascii="Verdana" w:hAnsi="Verdana"/>
          <w:color w:val="000000" w:themeColor="text1"/>
          <w:sz w:val="20"/>
          <w:szCs w:val="20"/>
        </w:rPr>
        <w:t xml:space="preserve"> relativa a “criterios de priorización para la atención del </w:t>
      </w:r>
      <w:r w:rsidR="007448A9" w:rsidRPr="0060123C">
        <w:rPr>
          <w:rFonts w:ascii="Verdana" w:hAnsi="Verdana"/>
          <w:color w:val="000000" w:themeColor="text1"/>
          <w:sz w:val="20"/>
          <w:szCs w:val="20"/>
        </w:rPr>
        <w:lastRenderedPageBreak/>
        <w:t>pago de sentencias judiciales”</w:t>
      </w:r>
      <w:r w:rsidR="00533E4C" w:rsidRPr="0060123C">
        <w:rPr>
          <w:rFonts w:ascii="Verdana" w:hAnsi="Verdana"/>
          <w:color w:val="000000" w:themeColor="text1"/>
          <w:sz w:val="20"/>
          <w:szCs w:val="20"/>
        </w:rPr>
        <w:t>,</w:t>
      </w:r>
      <w:r w:rsidR="007448A9" w:rsidRPr="0060123C">
        <w:rPr>
          <w:rFonts w:ascii="Verdana" w:hAnsi="Verdana"/>
          <w:color w:val="000000" w:themeColor="text1"/>
          <w:sz w:val="20"/>
          <w:szCs w:val="20"/>
        </w:rPr>
        <w:t xml:space="preserve"> y su impacto en el cumplimiento de las reparaciones </w:t>
      </w:r>
      <w:r w:rsidR="00902CF3" w:rsidRPr="0060123C">
        <w:rPr>
          <w:rFonts w:ascii="Verdana" w:hAnsi="Verdana"/>
          <w:color w:val="000000" w:themeColor="text1"/>
          <w:sz w:val="20"/>
          <w:szCs w:val="20"/>
        </w:rPr>
        <w:t xml:space="preserve">pecuniarias </w:t>
      </w:r>
      <w:r w:rsidR="007448A9" w:rsidRPr="0060123C">
        <w:rPr>
          <w:rFonts w:ascii="Verdana" w:hAnsi="Verdana"/>
          <w:color w:val="000000" w:themeColor="text1"/>
          <w:sz w:val="20"/>
          <w:szCs w:val="20"/>
        </w:rPr>
        <w:t>ordenadas por este Tribunal</w:t>
      </w:r>
      <w:r w:rsidR="00A759E5" w:rsidRPr="0060123C">
        <w:rPr>
          <w:rFonts w:ascii="Verdana" w:hAnsi="Verdana"/>
          <w:color w:val="000000" w:themeColor="text1"/>
          <w:sz w:val="20"/>
          <w:szCs w:val="20"/>
        </w:rPr>
        <w:t>.</w:t>
      </w:r>
    </w:p>
    <w:p w14:paraId="1BBA17E6" w14:textId="1B551563" w:rsidR="00A87754" w:rsidRPr="0060123C" w:rsidRDefault="00CC4B55" w:rsidP="00CC4B55">
      <w:pPr>
        <w:pStyle w:val="Prrafodelista"/>
        <w:numPr>
          <w:ilvl w:val="0"/>
          <w:numId w:val="6"/>
        </w:numPr>
        <w:spacing w:before="120" w:after="120"/>
        <w:ind w:left="851"/>
        <w:jc w:val="both"/>
        <w:rPr>
          <w:rFonts w:ascii="Verdana" w:hAnsi="Verdana"/>
          <w:i/>
          <w:color w:val="000000" w:themeColor="text1"/>
          <w:sz w:val="20"/>
          <w:szCs w:val="20"/>
        </w:rPr>
      </w:pPr>
      <w:r w:rsidRPr="0060123C">
        <w:rPr>
          <w:rFonts w:ascii="Verdana" w:hAnsi="Verdana"/>
          <w:i/>
          <w:color w:val="000000" w:themeColor="text1"/>
          <w:sz w:val="20"/>
          <w:szCs w:val="20"/>
        </w:rPr>
        <w:t>Medida</w:t>
      </w:r>
      <w:r w:rsidR="00833C85" w:rsidRPr="0060123C">
        <w:rPr>
          <w:rFonts w:ascii="Verdana" w:hAnsi="Verdana"/>
          <w:i/>
          <w:color w:val="000000" w:themeColor="text1"/>
          <w:sz w:val="20"/>
          <w:szCs w:val="20"/>
        </w:rPr>
        <w:t>s</w:t>
      </w:r>
      <w:r w:rsidRPr="0060123C">
        <w:rPr>
          <w:rFonts w:ascii="Verdana" w:hAnsi="Verdana"/>
          <w:i/>
          <w:color w:val="000000" w:themeColor="text1"/>
          <w:sz w:val="20"/>
          <w:szCs w:val="20"/>
        </w:rPr>
        <w:t xml:space="preserve"> ordenada</w:t>
      </w:r>
      <w:r w:rsidR="00833C85" w:rsidRPr="0060123C">
        <w:rPr>
          <w:rFonts w:ascii="Verdana" w:hAnsi="Verdana"/>
          <w:i/>
          <w:color w:val="000000" w:themeColor="text1"/>
          <w:sz w:val="20"/>
          <w:szCs w:val="20"/>
        </w:rPr>
        <w:t>s</w:t>
      </w:r>
      <w:r w:rsidRPr="0060123C">
        <w:rPr>
          <w:rFonts w:ascii="Verdana" w:hAnsi="Verdana"/>
          <w:i/>
          <w:color w:val="000000" w:themeColor="text1"/>
          <w:sz w:val="20"/>
          <w:szCs w:val="20"/>
        </w:rPr>
        <w:t xml:space="preserve"> por la Corte y supervisión realizada en resoluciones anteriores</w:t>
      </w:r>
    </w:p>
    <w:p w14:paraId="4CD4D214" w14:textId="5E2E0782" w:rsidR="00886EB2" w:rsidRPr="0060123C" w:rsidRDefault="007931EA" w:rsidP="00886EB2">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L</w:t>
      </w:r>
      <w:r w:rsidR="00886EB2" w:rsidRPr="0060123C">
        <w:rPr>
          <w:rFonts w:ascii="Verdana" w:hAnsi="Verdana"/>
          <w:color w:val="000000" w:themeColor="text1"/>
          <w:sz w:val="20"/>
          <w:szCs w:val="20"/>
        </w:rPr>
        <w:t>a Corte ordenó en</w:t>
      </w:r>
      <w:r w:rsidR="00A3463F" w:rsidRPr="0060123C">
        <w:rPr>
          <w:rFonts w:ascii="Verdana" w:hAnsi="Verdana"/>
          <w:color w:val="000000" w:themeColor="text1"/>
          <w:sz w:val="20"/>
          <w:szCs w:val="20"/>
        </w:rPr>
        <w:t xml:space="preserve"> las cinco Sentencia</w:t>
      </w:r>
      <w:r w:rsidR="00C35D39" w:rsidRPr="0060123C">
        <w:rPr>
          <w:rFonts w:ascii="Verdana" w:hAnsi="Verdana"/>
          <w:color w:val="000000" w:themeColor="text1"/>
          <w:sz w:val="20"/>
          <w:szCs w:val="20"/>
        </w:rPr>
        <w:t>s</w:t>
      </w:r>
      <w:r w:rsidR="00A3463F" w:rsidRPr="0060123C">
        <w:rPr>
          <w:rFonts w:ascii="Verdana" w:hAnsi="Verdana"/>
          <w:color w:val="000000" w:themeColor="text1"/>
          <w:sz w:val="20"/>
          <w:szCs w:val="20"/>
        </w:rPr>
        <w:t xml:space="preserve"> el</w:t>
      </w:r>
      <w:r w:rsidR="00886EB2" w:rsidRPr="0060123C">
        <w:rPr>
          <w:rFonts w:ascii="Verdana" w:hAnsi="Verdana"/>
          <w:color w:val="000000" w:themeColor="text1"/>
          <w:sz w:val="20"/>
          <w:szCs w:val="20"/>
        </w:rPr>
        <w:t xml:space="preserve"> pago de indemnizaciones y</w:t>
      </w:r>
      <w:r w:rsidR="00A97A86" w:rsidRPr="0060123C">
        <w:rPr>
          <w:rFonts w:ascii="Verdana" w:hAnsi="Verdana"/>
          <w:color w:val="000000" w:themeColor="text1"/>
          <w:sz w:val="20"/>
          <w:szCs w:val="20"/>
        </w:rPr>
        <w:t>/o</w:t>
      </w:r>
      <w:r w:rsidR="00886EB2" w:rsidRPr="0060123C">
        <w:rPr>
          <w:rFonts w:ascii="Verdana" w:hAnsi="Verdana"/>
          <w:color w:val="000000" w:themeColor="text1"/>
          <w:sz w:val="20"/>
          <w:szCs w:val="20"/>
        </w:rPr>
        <w:t xml:space="preserve"> el reintegro de costas y gastos</w:t>
      </w:r>
      <w:r w:rsidR="00C35D39" w:rsidRPr="0060123C">
        <w:rPr>
          <w:rStyle w:val="Refdenotaalpie"/>
          <w:rFonts w:ascii="Verdana" w:hAnsi="Verdana"/>
          <w:color w:val="000000" w:themeColor="text1"/>
          <w:sz w:val="20"/>
          <w:szCs w:val="20"/>
        </w:rPr>
        <w:footnoteReference w:id="8"/>
      </w:r>
      <w:r w:rsidR="00CA7901" w:rsidRPr="0060123C">
        <w:rPr>
          <w:rFonts w:ascii="Verdana" w:hAnsi="Verdana"/>
          <w:color w:val="000000" w:themeColor="text1"/>
          <w:sz w:val="20"/>
          <w:szCs w:val="20"/>
        </w:rPr>
        <w:t>:</w:t>
      </w:r>
    </w:p>
    <w:p w14:paraId="6F81DECF" w14:textId="0DEFCE17" w:rsidR="00CA7901" w:rsidRPr="0060123C" w:rsidRDefault="00902CF3" w:rsidP="00FD746C">
      <w:pPr>
        <w:pStyle w:val="Prrafodelista"/>
        <w:numPr>
          <w:ilvl w:val="0"/>
          <w:numId w:val="8"/>
        </w:numPr>
        <w:ind w:left="426" w:hanging="284"/>
        <w:jc w:val="both"/>
        <w:rPr>
          <w:rFonts w:ascii="Verdana" w:hAnsi="Verdana"/>
          <w:color w:val="000000" w:themeColor="text1"/>
          <w:sz w:val="16"/>
          <w:szCs w:val="16"/>
        </w:rPr>
      </w:pPr>
      <w:r w:rsidRPr="0060123C">
        <w:rPr>
          <w:rFonts w:ascii="Verdana" w:hAnsi="Verdana"/>
          <w:i/>
          <w:iCs/>
          <w:color w:val="000000" w:themeColor="text1"/>
          <w:sz w:val="16"/>
          <w:szCs w:val="16"/>
        </w:rPr>
        <w:t>Caso Tarazona Arrieta y otros</w:t>
      </w:r>
      <w:r w:rsidRPr="0060123C">
        <w:rPr>
          <w:rFonts w:ascii="Verdana" w:hAnsi="Verdana"/>
          <w:color w:val="000000" w:themeColor="text1"/>
          <w:sz w:val="16"/>
          <w:szCs w:val="16"/>
        </w:rPr>
        <w:t>: e</w:t>
      </w:r>
      <w:r w:rsidR="0092294F" w:rsidRPr="0060123C">
        <w:rPr>
          <w:rFonts w:ascii="Verdana" w:hAnsi="Verdana"/>
          <w:color w:val="000000" w:themeColor="text1"/>
          <w:sz w:val="16"/>
          <w:szCs w:val="16"/>
        </w:rPr>
        <w:t>n el punto dispositivo octavo de la Sentencia</w:t>
      </w:r>
      <w:r w:rsidR="00780C68" w:rsidRPr="0060123C">
        <w:rPr>
          <w:rFonts w:ascii="Verdana" w:hAnsi="Verdana"/>
          <w:color w:val="000000" w:themeColor="text1"/>
          <w:sz w:val="16"/>
          <w:szCs w:val="16"/>
        </w:rPr>
        <w:t xml:space="preserve"> </w:t>
      </w:r>
      <w:r w:rsidR="000B4189" w:rsidRPr="0060123C">
        <w:rPr>
          <w:rFonts w:ascii="Verdana" w:hAnsi="Verdana"/>
          <w:color w:val="000000" w:themeColor="text1"/>
          <w:sz w:val="16"/>
          <w:szCs w:val="16"/>
        </w:rPr>
        <w:t>se</w:t>
      </w:r>
      <w:r w:rsidR="0092294F" w:rsidRPr="0060123C">
        <w:rPr>
          <w:rFonts w:ascii="Verdana" w:hAnsi="Verdana"/>
          <w:color w:val="000000" w:themeColor="text1"/>
          <w:sz w:val="16"/>
          <w:szCs w:val="16"/>
        </w:rPr>
        <w:t xml:space="preserve"> dispuso</w:t>
      </w:r>
      <w:r w:rsidR="00780C68" w:rsidRPr="0060123C">
        <w:rPr>
          <w:rFonts w:ascii="Verdana" w:hAnsi="Verdana"/>
          <w:color w:val="000000" w:themeColor="text1"/>
          <w:sz w:val="16"/>
          <w:szCs w:val="16"/>
        </w:rPr>
        <w:t xml:space="preserve"> </w:t>
      </w:r>
      <w:r w:rsidR="0092294F" w:rsidRPr="0060123C">
        <w:rPr>
          <w:rFonts w:ascii="Verdana" w:hAnsi="Verdana"/>
          <w:color w:val="000000" w:themeColor="text1"/>
          <w:sz w:val="16"/>
          <w:szCs w:val="16"/>
        </w:rPr>
        <w:t>que el Estado debía</w:t>
      </w:r>
      <w:r w:rsidR="00B73034" w:rsidRPr="0060123C">
        <w:rPr>
          <w:rFonts w:ascii="Verdana" w:hAnsi="Verdana"/>
          <w:color w:val="000000" w:themeColor="text1"/>
          <w:sz w:val="16"/>
          <w:szCs w:val="16"/>
        </w:rPr>
        <w:t xml:space="preserve"> </w:t>
      </w:r>
      <w:r w:rsidR="0092294F" w:rsidRPr="0060123C">
        <w:rPr>
          <w:rFonts w:ascii="Verdana" w:hAnsi="Verdana"/>
          <w:color w:val="000000" w:themeColor="text1"/>
          <w:sz w:val="16"/>
          <w:szCs w:val="16"/>
        </w:rPr>
        <w:t xml:space="preserve">pagar </w:t>
      </w:r>
      <w:r w:rsidR="00F1119F" w:rsidRPr="0060123C">
        <w:rPr>
          <w:rFonts w:ascii="Verdana" w:hAnsi="Verdana"/>
          <w:color w:val="000000" w:themeColor="text1"/>
          <w:sz w:val="16"/>
          <w:szCs w:val="16"/>
        </w:rPr>
        <w:t xml:space="preserve">a los representantes de las víctimas, la Asociación </w:t>
      </w:r>
      <w:proofErr w:type="gramStart"/>
      <w:r w:rsidR="00F1119F" w:rsidRPr="0060123C">
        <w:rPr>
          <w:rFonts w:ascii="Verdana" w:hAnsi="Verdana"/>
          <w:color w:val="000000" w:themeColor="text1"/>
          <w:sz w:val="16"/>
          <w:szCs w:val="16"/>
        </w:rPr>
        <w:t>Pro Derechos</w:t>
      </w:r>
      <w:proofErr w:type="gramEnd"/>
      <w:r w:rsidR="00F1119F" w:rsidRPr="0060123C">
        <w:rPr>
          <w:rFonts w:ascii="Verdana" w:hAnsi="Verdana"/>
          <w:color w:val="000000" w:themeColor="text1"/>
          <w:sz w:val="16"/>
          <w:szCs w:val="16"/>
        </w:rPr>
        <w:t xml:space="preserve"> Humanos (APRODEH), la cantidad </w:t>
      </w:r>
      <w:r w:rsidRPr="0060123C">
        <w:rPr>
          <w:rFonts w:ascii="Verdana" w:hAnsi="Verdana"/>
          <w:color w:val="000000" w:themeColor="text1"/>
          <w:sz w:val="16"/>
          <w:szCs w:val="16"/>
        </w:rPr>
        <w:t xml:space="preserve">fijada en el párrafo 200 de la misma </w:t>
      </w:r>
      <w:r w:rsidR="0092294F" w:rsidRPr="0060123C">
        <w:rPr>
          <w:rFonts w:ascii="Verdana" w:hAnsi="Verdana"/>
          <w:color w:val="000000" w:themeColor="text1"/>
          <w:sz w:val="16"/>
          <w:szCs w:val="16"/>
        </w:rPr>
        <w:t>por concepto de costas y gastos</w:t>
      </w:r>
      <w:r w:rsidRPr="0060123C">
        <w:rPr>
          <w:rFonts w:ascii="Verdana" w:hAnsi="Verdana"/>
          <w:color w:val="000000" w:themeColor="text1"/>
          <w:sz w:val="16"/>
          <w:szCs w:val="16"/>
        </w:rPr>
        <w:t xml:space="preserve">. El plazo de seis meses para el cumplimiento de esta reparación venció el </w:t>
      </w:r>
      <w:r w:rsidR="00594E59" w:rsidRPr="0060123C">
        <w:rPr>
          <w:rFonts w:ascii="Verdana" w:hAnsi="Verdana"/>
          <w:color w:val="000000" w:themeColor="text1"/>
          <w:sz w:val="16"/>
          <w:szCs w:val="16"/>
        </w:rPr>
        <w:t>28 de mayo de 2015</w:t>
      </w:r>
      <w:r w:rsidR="00F1119F" w:rsidRPr="0060123C">
        <w:rPr>
          <w:rFonts w:ascii="Verdana" w:hAnsi="Verdana"/>
          <w:color w:val="000000" w:themeColor="text1"/>
          <w:sz w:val="16"/>
          <w:szCs w:val="16"/>
        </w:rPr>
        <w:t>;</w:t>
      </w:r>
    </w:p>
    <w:p w14:paraId="6CF5D87A" w14:textId="79A12C12" w:rsidR="000B4189" w:rsidRPr="0060123C" w:rsidRDefault="00902CF3" w:rsidP="00FD746C">
      <w:pPr>
        <w:pStyle w:val="Prrafodelista"/>
        <w:numPr>
          <w:ilvl w:val="0"/>
          <w:numId w:val="8"/>
        </w:numPr>
        <w:ind w:left="426" w:hanging="284"/>
        <w:jc w:val="both"/>
        <w:rPr>
          <w:rFonts w:ascii="Verdana" w:hAnsi="Verdana"/>
          <w:color w:val="000000" w:themeColor="text1"/>
          <w:sz w:val="16"/>
          <w:szCs w:val="16"/>
        </w:rPr>
      </w:pPr>
      <w:r w:rsidRPr="0060123C">
        <w:rPr>
          <w:rFonts w:ascii="Verdana" w:hAnsi="Verdana"/>
          <w:i/>
          <w:iCs/>
          <w:color w:val="000000" w:themeColor="text1"/>
          <w:sz w:val="16"/>
          <w:szCs w:val="16"/>
        </w:rPr>
        <w:t>Caso Canales Huapaya y otros</w:t>
      </w:r>
      <w:r w:rsidRPr="0060123C">
        <w:rPr>
          <w:rFonts w:ascii="Verdana" w:hAnsi="Verdana"/>
          <w:color w:val="000000" w:themeColor="text1"/>
          <w:sz w:val="16"/>
          <w:szCs w:val="16"/>
        </w:rPr>
        <w:t>: e</w:t>
      </w:r>
      <w:r w:rsidR="000B4189" w:rsidRPr="0060123C">
        <w:rPr>
          <w:rFonts w:ascii="Verdana" w:hAnsi="Verdana"/>
          <w:color w:val="000000" w:themeColor="text1"/>
          <w:sz w:val="16"/>
          <w:szCs w:val="16"/>
        </w:rPr>
        <w:t>n el punto resolutivo séptimo de la Sentencia se dispuso que el Estado debía</w:t>
      </w:r>
      <w:r w:rsidRPr="0060123C">
        <w:rPr>
          <w:rFonts w:ascii="Verdana" w:hAnsi="Verdana"/>
          <w:color w:val="000000" w:themeColor="text1"/>
          <w:sz w:val="16"/>
          <w:szCs w:val="16"/>
        </w:rPr>
        <w:t xml:space="preserve"> </w:t>
      </w:r>
      <w:r w:rsidR="000B4189" w:rsidRPr="0060123C">
        <w:rPr>
          <w:rFonts w:ascii="Verdana" w:hAnsi="Verdana"/>
          <w:color w:val="000000" w:themeColor="text1"/>
          <w:sz w:val="16"/>
          <w:szCs w:val="16"/>
        </w:rPr>
        <w:t>pagar: i) la</w:t>
      </w:r>
      <w:r w:rsidRPr="0060123C">
        <w:rPr>
          <w:rFonts w:ascii="Verdana" w:hAnsi="Verdana"/>
          <w:color w:val="000000" w:themeColor="text1"/>
          <w:sz w:val="16"/>
          <w:szCs w:val="16"/>
        </w:rPr>
        <w:t>s</w:t>
      </w:r>
      <w:r w:rsidR="000B4189" w:rsidRPr="0060123C">
        <w:rPr>
          <w:rFonts w:ascii="Verdana" w:hAnsi="Verdana"/>
          <w:color w:val="000000" w:themeColor="text1"/>
          <w:sz w:val="16"/>
          <w:szCs w:val="16"/>
        </w:rPr>
        <w:t xml:space="preserve"> </w:t>
      </w:r>
      <w:r w:rsidRPr="0060123C">
        <w:rPr>
          <w:rFonts w:ascii="Verdana" w:hAnsi="Verdana"/>
          <w:color w:val="000000" w:themeColor="text1"/>
          <w:sz w:val="16"/>
          <w:szCs w:val="16"/>
        </w:rPr>
        <w:t xml:space="preserve">cantidades fijadas en el párrafo 194 de la misma </w:t>
      </w:r>
      <w:r w:rsidR="000B4189" w:rsidRPr="0060123C">
        <w:rPr>
          <w:rFonts w:ascii="Verdana" w:hAnsi="Verdana"/>
          <w:color w:val="000000" w:themeColor="text1"/>
          <w:sz w:val="16"/>
          <w:szCs w:val="16"/>
        </w:rPr>
        <w:t xml:space="preserve">como indemnización compensatoria para cada uno de los señores Carlos Alberto Canales Huapaya y José Castro Ballena, así como </w:t>
      </w:r>
      <w:r w:rsidRPr="0060123C">
        <w:rPr>
          <w:rFonts w:ascii="Verdana" w:hAnsi="Verdana"/>
          <w:color w:val="000000" w:themeColor="text1"/>
          <w:sz w:val="16"/>
          <w:szCs w:val="16"/>
        </w:rPr>
        <w:t xml:space="preserve">la </w:t>
      </w:r>
      <w:r w:rsidR="000B4189" w:rsidRPr="0060123C">
        <w:rPr>
          <w:rFonts w:ascii="Verdana" w:hAnsi="Verdana"/>
          <w:color w:val="000000" w:themeColor="text1"/>
          <w:sz w:val="16"/>
          <w:szCs w:val="16"/>
        </w:rPr>
        <w:t xml:space="preserve">indemnización compensatoria a favor de la señora María Gracia Barriga Oré, y </w:t>
      </w:r>
      <w:proofErr w:type="spellStart"/>
      <w:r w:rsidR="000B4189" w:rsidRPr="0060123C">
        <w:rPr>
          <w:rFonts w:ascii="Verdana" w:hAnsi="Verdana"/>
          <w:color w:val="000000" w:themeColor="text1"/>
          <w:sz w:val="16"/>
          <w:szCs w:val="16"/>
        </w:rPr>
        <w:t>ii</w:t>
      </w:r>
      <w:proofErr w:type="spellEnd"/>
      <w:r w:rsidR="000B4189" w:rsidRPr="0060123C">
        <w:rPr>
          <w:rFonts w:ascii="Verdana" w:hAnsi="Verdana"/>
          <w:color w:val="000000" w:themeColor="text1"/>
          <w:sz w:val="16"/>
          <w:szCs w:val="16"/>
        </w:rPr>
        <w:t xml:space="preserve">) la cantidad </w:t>
      </w:r>
      <w:r w:rsidRPr="0060123C">
        <w:rPr>
          <w:rFonts w:ascii="Verdana" w:hAnsi="Verdana"/>
          <w:color w:val="000000" w:themeColor="text1"/>
          <w:sz w:val="16"/>
          <w:szCs w:val="16"/>
        </w:rPr>
        <w:t xml:space="preserve">fijada en el párrafo 201 de la Sentencia </w:t>
      </w:r>
      <w:r w:rsidR="000B4189" w:rsidRPr="0060123C">
        <w:rPr>
          <w:rFonts w:ascii="Verdana" w:hAnsi="Verdana"/>
          <w:color w:val="000000" w:themeColor="text1"/>
          <w:sz w:val="16"/>
          <w:szCs w:val="16"/>
        </w:rPr>
        <w:t>para cada una de las víctimas, por concepto de reintegro de costas y gastos</w:t>
      </w:r>
      <w:r w:rsidRPr="0060123C">
        <w:rPr>
          <w:rFonts w:ascii="Verdana" w:hAnsi="Verdana"/>
          <w:color w:val="000000" w:themeColor="text1"/>
          <w:sz w:val="16"/>
          <w:szCs w:val="16"/>
        </w:rPr>
        <w:t xml:space="preserve">. El plazo de un año para el cumplimiento de estas reparaciones venció el </w:t>
      </w:r>
      <w:r w:rsidR="00594E59" w:rsidRPr="0060123C">
        <w:rPr>
          <w:rFonts w:ascii="Verdana" w:hAnsi="Verdana"/>
          <w:color w:val="000000" w:themeColor="text1"/>
          <w:sz w:val="16"/>
          <w:szCs w:val="16"/>
        </w:rPr>
        <w:t>1</w:t>
      </w:r>
      <w:r w:rsidR="006D7BC1" w:rsidRPr="0060123C">
        <w:rPr>
          <w:rFonts w:ascii="Verdana" w:hAnsi="Verdana"/>
          <w:color w:val="000000" w:themeColor="text1"/>
          <w:sz w:val="16"/>
          <w:szCs w:val="16"/>
        </w:rPr>
        <w:t>9</w:t>
      </w:r>
      <w:r w:rsidR="00594E59" w:rsidRPr="0060123C">
        <w:rPr>
          <w:rFonts w:ascii="Verdana" w:hAnsi="Verdana"/>
          <w:color w:val="000000" w:themeColor="text1"/>
          <w:sz w:val="16"/>
          <w:szCs w:val="16"/>
        </w:rPr>
        <w:t xml:space="preserve"> de septiembre de 2016</w:t>
      </w:r>
      <w:r w:rsidR="00CA7901" w:rsidRPr="0060123C">
        <w:rPr>
          <w:rFonts w:ascii="Verdana" w:hAnsi="Verdana"/>
          <w:color w:val="000000" w:themeColor="text1"/>
          <w:sz w:val="16"/>
          <w:szCs w:val="16"/>
        </w:rPr>
        <w:t>;</w:t>
      </w:r>
    </w:p>
    <w:p w14:paraId="66F2D213" w14:textId="0717EEC4" w:rsidR="009A59B9" w:rsidRPr="0060123C" w:rsidRDefault="00655123" w:rsidP="00FD746C">
      <w:pPr>
        <w:pStyle w:val="Prrafodelista"/>
        <w:numPr>
          <w:ilvl w:val="0"/>
          <w:numId w:val="8"/>
        </w:numPr>
        <w:ind w:left="426" w:hanging="284"/>
        <w:jc w:val="both"/>
        <w:rPr>
          <w:rFonts w:ascii="Verdana" w:hAnsi="Verdana"/>
          <w:color w:val="000000" w:themeColor="text1"/>
          <w:sz w:val="16"/>
          <w:szCs w:val="16"/>
        </w:rPr>
      </w:pPr>
      <w:r w:rsidRPr="0060123C">
        <w:rPr>
          <w:rFonts w:ascii="Verdana" w:hAnsi="Verdana"/>
          <w:i/>
          <w:iCs/>
          <w:color w:val="000000" w:themeColor="text1"/>
          <w:sz w:val="16"/>
          <w:szCs w:val="16"/>
        </w:rPr>
        <w:t xml:space="preserve">Caso Wong Ho </w:t>
      </w:r>
      <w:proofErr w:type="spellStart"/>
      <w:r w:rsidRPr="0060123C">
        <w:rPr>
          <w:rFonts w:ascii="Verdana" w:hAnsi="Verdana"/>
          <w:i/>
          <w:iCs/>
          <w:color w:val="000000" w:themeColor="text1"/>
          <w:sz w:val="16"/>
          <w:szCs w:val="16"/>
        </w:rPr>
        <w:t>Wing</w:t>
      </w:r>
      <w:proofErr w:type="spellEnd"/>
      <w:r w:rsidR="009A59B9" w:rsidRPr="0060123C">
        <w:rPr>
          <w:rFonts w:ascii="Verdana" w:hAnsi="Verdana"/>
          <w:color w:val="000000" w:themeColor="text1"/>
          <w:sz w:val="16"/>
          <w:szCs w:val="16"/>
        </w:rPr>
        <w:t xml:space="preserve">: en el punto resolutivo </w:t>
      </w:r>
      <w:r w:rsidR="006021F2" w:rsidRPr="0060123C">
        <w:rPr>
          <w:rFonts w:ascii="Verdana" w:hAnsi="Verdana"/>
          <w:color w:val="000000" w:themeColor="text1"/>
          <w:sz w:val="16"/>
          <w:szCs w:val="16"/>
        </w:rPr>
        <w:t>decimoquinto</w:t>
      </w:r>
      <w:r w:rsidR="009A59B9" w:rsidRPr="0060123C">
        <w:rPr>
          <w:rFonts w:ascii="Verdana" w:hAnsi="Verdana"/>
          <w:color w:val="000000" w:themeColor="text1"/>
          <w:sz w:val="16"/>
          <w:szCs w:val="16"/>
        </w:rPr>
        <w:t xml:space="preserve"> de la Sentencia </w:t>
      </w:r>
      <w:r w:rsidRPr="0060123C">
        <w:rPr>
          <w:rFonts w:ascii="Verdana" w:hAnsi="Verdana"/>
          <w:color w:val="000000" w:themeColor="text1"/>
          <w:sz w:val="16"/>
          <w:szCs w:val="16"/>
        </w:rPr>
        <w:t>se dispuso que el Estado debía</w:t>
      </w:r>
      <w:r w:rsidR="009A59B9" w:rsidRPr="0060123C">
        <w:rPr>
          <w:rFonts w:ascii="Verdana" w:hAnsi="Verdana"/>
          <w:color w:val="000000" w:themeColor="text1"/>
          <w:sz w:val="16"/>
          <w:szCs w:val="16"/>
        </w:rPr>
        <w:t xml:space="preserve"> pagar</w:t>
      </w:r>
      <w:r w:rsidR="00403F0B" w:rsidRPr="0060123C">
        <w:rPr>
          <w:rFonts w:ascii="Verdana" w:hAnsi="Verdana"/>
          <w:color w:val="000000" w:themeColor="text1"/>
          <w:sz w:val="16"/>
          <w:szCs w:val="16"/>
        </w:rPr>
        <w:t>: i)</w:t>
      </w:r>
      <w:r w:rsidR="009A59B9" w:rsidRPr="0060123C">
        <w:rPr>
          <w:rFonts w:ascii="Verdana" w:hAnsi="Verdana"/>
          <w:color w:val="000000" w:themeColor="text1"/>
          <w:sz w:val="16"/>
          <w:szCs w:val="16"/>
        </w:rPr>
        <w:t xml:space="preserve"> la cantidad fijada en el párrafo 317 de la misma como indemnización por concepto de daño material e inmaterial a favor del señor Wong Ho </w:t>
      </w:r>
      <w:proofErr w:type="spellStart"/>
      <w:r w:rsidR="009A59B9" w:rsidRPr="0060123C">
        <w:rPr>
          <w:rFonts w:ascii="Verdana" w:hAnsi="Verdana"/>
          <w:color w:val="000000" w:themeColor="text1"/>
          <w:sz w:val="16"/>
          <w:szCs w:val="16"/>
        </w:rPr>
        <w:t>Wing</w:t>
      </w:r>
      <w:proofErr w:type="spellEnd"/>
      <w:r w:rsidR="009A59B9" w:rsidRPr="0060123C">
        <w:rPr>
          <w:rFonts w:ascii="Verdana" w:hAnsi="Verdana"/>
          <w:color w:val="000000" w:themeColor="text1"/>
          <w:sz w:val="16"/>
          <w:szCs w:val="16"/>
        </w:rPr>
        <w:t>, y</w:t>
      </w:r>
      <w:r w:rsidR="00403F0B" w:rsidRPr="0060123C">
        <w:rPr>
          <w:rFonts w:ascii="Verdana" w:hAnsi="Verdana"/>
          <w:color w:val="000000" w:themeColor="text1"/>
          <w:sz w:val="16"/>
          <w:szCs w:val="16"/>
        </w:rPr>
        <w:t xml:space="preserve"> </w:t>
      </w:r>
      <w:proofErr w:type="spellStart"/>
      <w:r w:rsidR="00403F0B" w:rsidRPr="0060123C">
        <w:rPr>
          <w:rFonts w:ascii="Verdana" w:hAnsi="Verdana"/>
          <w:color w:val="000000" w:themeColor="text1"/>
          <w:sz w:val="16"/>
          <w:szCs w:val="16"/>
        </w:rPr>
        <w:t>ii</w:t>
      </w:r>
      <w:proofErr w:type="spellEnd"/>
      <w:r w:rsidR="00403F0B" w:rsidRPr="0060123C">
        <w:rPr>
          <w:rFonts w:ascii="Verdana" w:hAnsi="Verdana"/>
          <w:color w:val="000000" w:themeColor="text1"/>
          <w:sz w:val="16"/>
          <w:szCs w:val="16"/>
        </w:rPr>
        <w:t>)</w:t>
      </w:r>
      <w:r w:rsidR="009A59B9" w:rsidRPr="0060123C">
        <w:rPr>
          <w:rFonts w:ascii="Verdana" w:hAnsi="Verdana"/>
          <w:color w:val="000000" w:themeColor="text1"/>
          <w:sz w:val="16"/>
          <w:szCs w:val="16"/>
        </w:rPr>
        <w:t xml:space="preserve"> la cantidad fijada en el párrafo 322 de la Sentencia por concepto de reintegro de costas y gastos al representante Luis Lamas Puccio</w:t>
      </w:r>
      <w:r w:rsidR="00403F0B" w:rsidRPr="0060123C">
        <w:rPr>
          <w:rFonts w:ascii="Verdana" w:hAnsi="Verdana"/>
          <w:color w:val="000000" w:themeColor="text1"/>
          <w:sz w:val="16"/>
          <w:szCs w:val="16"/>
        </w:rPr>
        <w:t xml:space="preserve">. El plazo de un año para el cumplimiento de estas reparaciones venció el </w:t>
      </w:r>
      <w:r w:rsidR="00594E59" w:rsidRPr="0060123C">
        <w:rPr>
          <w:rFonts w:ascii="Verdana" w:hAnsi="Verdana"/>
          <w:color w:val="000000" w:themeColor="text1"/>
          <w:sz w:val="16"/>
          <w:szCs w:val="16"/>
        </w:rPr>
        <w:t>1</w:t>
      </w:r>
      <w:r w:rsidR="006D7BC1" w:rsidRPr="0060123C">
        <w:rPr>
          <w:rFonts w:ascii="Verdana" w:hAnsi="Verdana"/>
          <w:color w:val="000000" w:themeColor="text1"/>
          <w:sz w:val="16"/>
          <w:szCs w:val="16"/>
        </w:rPr>
        <w:t>9</w:t>
      </w:r>
      <w:r w:rsidR="00594E59" w:rsidRPr="0060123C">
        <w:rPr>
          <w:rFonts w:ascii="Verdana" w:hAnsi="Verdana"/>
          <w:color w:val="000000" w:themeColor="text1"/>
          <w:sz w:val="16"/>
          <w:szCs w:val="16"/>
        </w:rPr>
        <w:t xml:space="preserve"> de septiembre de 2016</w:t>
      </w:r>
      <w:r w:rsidR="00403F0B" w:rsidRPr="0060123C">
        <w:rPr>
          <w:rFonts w:ascii="Verdana" w:hAnsi="Verdana"/>
          <w:color w:val="000000" w:themeColor="text1"/>
          <w:sz w:val="16"/>
          <w:szCs w:val="16"/>
        </w:rPr>
        <w:t>;</w:t>
      </w:r>
    </w:p>
    <w:p w14:paraId="6D2335BB" w14:textId="08482183" w:rsidR="00403F0B" w:rsidRPr="0060123C" w:rsidRDefault="002D7417" w:rsidP="00FD746C">
      <w:pPr>
        <w:pStyle w:val="Prrafodelista"/>
        <w:numPr>
          <w:ilvl w:val="0"/>
          <w:numId w:val="8"/>
        </w:numPr>
        <w:ind w:left="426" w:hanging="284"/>
        <w:jc w:val="both"/>
        <w:rPr>
          <w:rFonts w:ascii="Verdana" w:hAnsi="Verdana"/>
          <w:i/>
          <w:iCs/>
          <w:color w:val="000000" w:themeColor="text1"/>
          <w:sz w:val="16"/>
          <w:szCs w:val="16"/>
        </w:rPr>
      </w:pPr>
      <w:r w:rsidRPr="0060123C">
        <w:rPr>
          <w:rFonts w:ascii="Verdana" w:hAnsi="Verdana"/>
          <w:i/>
          <w:iCs/>
          <w:color w:val="000000" w:themeColor="text1"/>
          <w:sz w:val="16"/>
          <w:szCs w:val="16"/>
        </w:rPr>
        <w:t>Caso Zegarra Marín</w:t>
      </w:r>
      <w:r w:rsidR="00403F0B" w:rsidRPr="0060123C">
        <w:rPr>
          <w:rFonts w:ascii="Verdana" w:hAnsi="Verdana"/>
          <w:color w:val="000000" w:themeColor="text1"/>
          <w:sz w:val="16"/>
          <w:szCs w:val="16"/>
        </w:rPr>
        <w:t xml:space="preserve">: en el punto resolutivo undécimo de la Sentencia </w:t>
      </w:r>
      <w:r w:rsidR="004565A4" w:rsidRPr="0060123C">
        <w:rPr>
          <w:rFonts w:ascii="Verdana" w:hAnsi="Verdana"/>
          <w:color w:val="000000" w:themeColor="text1"/>
          <w:sz w:val="16"/>
          <w:szCs w:val="16"/>
        </w:rPr>
        <w:t>se dispuso que el Estado debía</w:t>
      </w:r>
      <w:r w:rsidR="00403F0B" w:rsidRPr="0060123C">
        <w:rPr>
          <w:rFonts w:ascii="Verdana" w:hAnsi="Verdana"/>
          <w:color w:val="000000" w:themeColor="text1"/>
          <w:sz w:val="16"/>
          <w:szCs w:val="16"/>
        </w:rPr>
        <w:t xml:space="preserve"> pagar</w:t>
      </w:r>
      <w:r w:rsidR="0033454F" w:rsidRPr="0060123C">
        <w:rPr>
          <w:rFonts w:ascii="Verdana" w:hAnsi="Verdana"/>
          <w:color w:val="000000" w:themeColor="text1"/>
          <w:sz w:val="16"/>
          <w:szCs w:val="16"/>
        </w:rPr>
        <w:t>: i)</w:t>
      </w:r>
      <w:r w:rsidR="00AC3EE3" w:rsidRPr="0060123C">
        <w:rPr>
          <w:rFonts w:ascii="Verdana" w:hAnsi="Verdana"/>
          <w:color w:val="000000" w:themeColor="text1"/>
          <w:sz w:val="16"/>
          <w:szCs w:val="16"/>
        </w:rPr>
        <w:t xml:space="preserve"> al señor Agustín </w:t>
      </w:r>
      <w:proofErr w:type="spellStart"/>
      <w:r w:rsidR="00AC3EE3" w:rsidRPr="0060123C">
        <w:rPr>
          <w:rFonts w:ascii="Verdana" w:hAnsi="Verdana"/>
          <w:color w:val="000000" w:themeColor="text1"/>
          <w:sz w:val="16"/>
          <w:szCs w:val="16"/>
        </w:rPr>
        <w:t>Bladimiro</w:t>
      </w:r>
      <w:proofErr w:type="spellEnd"/>
      <w:r w:rsidR="00AC3EE3" w:rsidRPr="0060123C">
        <w:rPr>
          <w:rFonts w:ascii="Verdana" w:hAnsi="Verdana"/>
          <w:color w:val="000000" w:themeColor="text1"/>
          <w:sz w:val="16"/>
          <w:szCs w:val="16"/>
        </w:rPr>
        <w:t xml:space="preserve"> Zegarra Marín</w:t>
      </w:r>
      <w:r w:rsidRPr="0060123C">
        <w:rPr>
          <w:rFonts w:ascii="Verdana" w:hAnsi="Verdana"/>
          <w:color w:val="000000" w:themeColor="text1"/>
          <w:sz w:val="16"/>
          <w:szCs w:val="16"/>
        </w:rPr>
        <w:t xml:space="preserve"> la</w:t>
      </w:r>
      <w:r w:rsidR="00403F0B" w:rsidRPr="0060123C">
        <w:rPr>
          <w:rFonts w:ascii="Verdana" w:hAnsi="Verdana"/>
          <w:color w:val="000000" w:themeColor="text1"/>
          <w:sz w:val="16"/>
          <w:szCs w:val="16"/>
        </w:rPr>
        <w:t xml:space="preserve"> cantidad fijada en el párrafo 226 de la misma</w:t>
      </w:r>
      <w:r w:rsidR="009B3C35" w:rsidRPr="0060123C">
        <w:rPr>
          <w:rFonts w:ascii="Verdana" w:hAnsi="Verdana"/>
          <w:color w:val="000000" w:themeColor="text1"/>
          <w:sz w:val="16"/>
          <w:szCs w:val="16"/>
        </w:rPr>
        <w:t xml:space="preserve"> </w:t>
      </w:r>
      <w:r w:rsidR="00A97A86" w:rsidRPr="0060123C">
        <w:rPr>
          <w:rFonts w:ascii="Verdana" w:hAnsi="Verdana"/>
          <w:color w:val="000000" w:themeColor="text1"/>
          <w:sz w:val="16"/>
          <w:szCs w:val="16"/>
        </w:rPr>
        <w:t>en</w:t>
      </w:r>
      <w:r w:rsidRPr="0060123C">
        <w:rPr>
          <w:rFonts w:ascii="Verdana" w:hAnsi="Verdana"/>
          <w:color w:val="000000" w:themeColor="text1"/>
          <w:sz w:val="16"/>
          <w:szCs w:val="16"/>
        </w:rPr>
        <w:t xml:space="preserve"> compensación por daño inmaterial, y</w:t>
      </w:r>
      <w:r w:rsidR="0033454F" w:rsidRPr="0060123C">
        <w:rPr>
          <w:rFonts w:ascii="Verdana" w:hAnsi="Verdana"/>
          <w:color w:val="000000" w:themeColor="text1"/>
          <w:sz w:val="16"/>
          <w:szCs w:val="16"/>
        </w:rPr>
        <w:t xml:space="preserve"> </w:t>
      </w:r>
      <w:proofErr w:type="spellStart"/>
      <w:r w:rsidR="0033454F" w:rsidRPr="0060123C">
        <w:rPr>
          <w:rFonts w:ascii="Verdana" w:hAnsi="Verdana"/>
          <w:color w:val="000000" w:themeColor="text1"/>
          <w:sz w:val="16"/>
          <w:szCs w:val="16"/>
        </w:rPr>
        <w:t>ii</w:t>
      </w:r>
      <w:proofErr w:type="spellEnd"/>
      <w:r w:rsidR="0033454F" w:rsidRPr="0060123C">
        <w:rPr>
          <w:rFonts w:ascii="Verdana" w:hAnsi="Verdana"/>
          <w:color w:val="000000" w:themeColor="text1"/>
          <w:sz w:val="16"/>
          <w:szCs w:val="16"/>
        </w:rPr>
        <w:t>)</w:t>
      </w:r>
      <w:r w:rsidRPr="0060123C">
        <w:rPr>
          <w:rFonts w:ascii="Verdana" w:hAnsi="Verdana"/>
          <w:color w:val="000000" w:themeColor="text1"/>
          <w:sz w:val="16"/>
          <w:szCs w:val="16"/>
        </w:rPr>
        <w:t xml:space="preserve"> la cantidad </w:t>
      </w:r>
      <w:r w:rsidR="009B3C35" w:rsidRPr="0060123C">
        <w:rPr>
          <w:rFonts w:ascii="Verdana" w:hAnsi="Verdana"/>
          <w:color w:val="000000" w:themeColor="text1"/>
          <w:sz w:val="16"/>
          <w:szCs w:val="16"/>
        </w:rPr>
        <w:t xml:space="preserve">fijada en el párrafo 231 de la Sentencia </w:t>
      </w:r>
      <w:r w:rsidRPr="0060123C">
        <w:rPr>
          <w:rFonts w:ascii="Verdana" w:hAnsi="Verdana"/>
          <w:color w:val="000000" w:themeColor="text1"/>
          <w:sz w:val="16"/>
          <w:szCs w:val="16"/>
        </w:rPr>
        <w:t xml:space="preserve">por </w:t>
      </w:r>
      <w:r w:rsidR="00A97A86" w:rsidRPr="0060123C">
        <w:rPr>
          <w:rFonts w:ascii="Verdana" w:hAnsi="Verdana"/>
          <w:color w:val="000000" w:themeColor="text1"/>
          <w:sz w:val="16"/>
          <w:szCs w:val="16"/>
        </w:rPr>
        <w:t>el</w:t>
      </w:r>
      <w:r w:rsidRPr="0060123C">
        <w:rPr>
          <w:rFonts w:ascii="Verdana" w:hAnsi="Verdana"/>
          <w:color w:val="000000" w:themeColor="text1"/>
          <w:sz w:val="16"/>
          <w:szCs w:val="16"/>
        </w:rPr>
        <w:t xml:space="preserve"> reintegro de costas y gastos</w:t>
      </w:r>
      <w:r w:rsidR="0033454F" w:rsidRPr="0060123C">
        <w:rPr>
          <w:rFonts w:ascii="Verdana" w:hAnsi="Verdana"/>
          <w:color w:val="000000" w:themeColor="text1"/>
          <w:sz w:val="16"/>
          <w:szCs w:val="16"/>
        </w:rPr>
        <w:t>, la cual debía</w:t>
      </w:r>
      <w:r w:rsidR="00961277" w:rsidRPr="0060123C">
        <w:rPr>
          <w:rFonts w:ascii="Verdana" w:hAnsi="Verdana"/>
          <w:color w:val="000000" w:themeColor="text1"/>
          <w:sz w:val="16"/>
          <w:szCs w:val="16"/>
        </w:rPr>
        <w:t xml:space="preserve"> </w:t>
      </w:r>
      <w:r w:rsidR="0033454F" w:rsidRPr="0060123C">
        <w:rPr>
          <w:rFonts w:ascii="Verdana" w:hAnsi="Verdana"/>
          <w:color w:val="000000" w:themeColor="text1"/>
          <w:sz w:val="16"/>
          <w:szCs w:val="16"/>
        </w:rPr>
        <w:t>“</w:t>
      </w:r>
      <w:r w:rsidR="00961277" w:rsidRPr="0060123C">
        <w:rPr>
          <w:rFonts w:ascii="Verdana" w:hAnsi="Verdana"/>
          <w:color w:val="000000" w:themeColor="text1"/>
          <w:sz w:val="16"/>
          <w:szCs w:val="16"/>
        </w:rPr>
        <w:t>ser entregado al señor Zegarra Marín, quien entregará a sus representantes la cantidad que corresponda, conforme a la asistencia que éstos le hubiesen prestado</w:t>
      </w:r>
      <w:r w:rsidR="0033454F" w:rsidRPr="0060123C">
        <w:rPr>
          <w:rFonts w:ascii="Verdana" w:hAnsi="Verdana"/>
          <w:color w:val="000000" w:themeColor="text1"/>
          <w:sz w:val="16"/>
          <w:szCs w:val="16"/>
        </w:rPr>
        <w:t>”</w:t>
      </w:r>
      <w:r w:rsidR="00961277" w:rsidRPr="0060123C">
        <w:rPr>
          <w:rFonts w:ascii="Verdana" w:hAnsi="Verdana"/>
          <w:color w:val="000000" w:themeColor="text1"/>
          <w:sz w:val="16"/>
          <w:szCs w:val="16"/>
        </w:rPr>
        <w:t xml:space="preserve">. </w:t>
      </w:r>
      <w:r w:rsidR="009B3C35" w:rsidRPr="0060123C">
        <w:rPr>
          <w:rFonts w:ascii="Verdana" w:hAnsi="Verdana"/>
          <w:color w:val="000000" w:themeColor="text1"/>
          <w:sz w:val="16"/>
          <w:szCs w:val="16"/>
        </w:rPr>
        <w:t xml:space="preserve">El plazo de un año para el cumplimiento de estas reparaciones venció el </w:t>
      </w:r>
      <w:r w:rsidR="00594E59" w:rsidRPr="0060123C">
        <w:rPr>
          <w:rFonts w:ascii="Verdana" w:hAnsi="Verdana"/>
          <w:color w:val="000000" w:themeColor="text1"/>
          <w:sz w:val="16"/>
          <w:szCs w:val="16"/>
        </w:rPr>
        <w:t>1</w:t>
      </w:r>
      <w:r w:rsidR="006D7BC1" w:rsidRPr="0060123C">
        <w:rPr>
          <w:rFonts w:ascii="Verdana" w:hAnsi="Verdana"/>
          <w:color w:val="000000" w:themeColor="text1"/>
          <w:sz w:val="16"/>
          <w:szCs w:val="16"/>
        </w:rPr>
        <w:t>4</w:t>
      </w:r>
      <w:r w:rsidR="00594E59" w:rsidRPr="0060123C">
        <w:rPr>
          <w:rFonts w:ascii="Verdana" w:hAnsi="Verdana"/>
          <w:color w:val="000000" w:themeColor="text1"/>
          <w:sz w:val="16"/>
          <w:szCs w:val="16"/>
        </w:rPr>
        <w:t xml:space="preserve"> de mayo de 2018</w:t>
      </w:r>
      <w:r w:rsidR="00242533" w:rsidRPr="0060123C">
        <w:rPr>
          <w:rFonts w:ascii="Verdana" w:hAnsi="Verdana"/>
          <w:color w:val="000000" w:themeColor="text1"/>
          <w:sz w:val="16"/>
          <w:szCs w:val="16"/>
        </w:rPr>
        <w:t>,</w:t>
      </w:r>
      <w:r w:rsidR="00851428" w:rsidRPr="0060123C">
        <w:rPr>
          <w:rFonts w:ascii="Verdana" w:hAnsi="Verdana"/>
          <w:color w:val="000000" w:themeColor="text1"/>
          <w:sz w:val="16"/>
          <w:szCs w:val="16"/>
        </w:rPr>
        <w:t xml:space="preserve"> y</w:t>
      </w:r>
    </w:p>
    <w:p w14:paraId="0F228CF5" w14:textId="60E33862" w:rsidR="007B7D37" w:rsidRPr="0060123C" w:rsidRDefault="006778B9" w:rsidP="00FD746C">
      <w:pPr>
        <w:pStyle w:val="Prrafodelista"/>
        <w:numPr>
          <w:ilvl w:val="0"/>
          <w:numId w:val="8"/>
        </w:numPr>
        <w:ind w:left="426" w:hanging="284"/>
        <w:jc w:val="both"/>
        <w:rPr>
          <w:rFonts w:ascii="Verdana" w:hAnsi="Verdana"/>
          <w:color w:val="000000" w:themeColor="text1"/>
          <w:sz w:val="16"/>
          <w:szCs w:val="16"/>
        </w:rPr>
      </w:pPr>
      <w:r w:rsidRPr="0060123C">
        <w:rPr>
          <w:rFonts w:ascii="Verdana" w:hAnsi="Verdana"/>
          <w:i/>
          <w:iCs/>
          <w:color w:val="000000" w:themeColor="text1"/>
          <w:sz w:val="16"/>
          <w:szCs w:val="16"/>
        </w:rPr>
        <w:t xml:space="preserve">Caso </w:t>
      </w:r>
      <w:r w:rsidR="007931EA" w:rsidRPr="0060123C">
        <w:rPr>
          <w:rFonts w:ascii="Verdana" w:hAnsi="Verdana"/>
          <w:i/>
          <w:iCs/>
          <w:color w:val="000000" w:themeColor="text1"/>
          <w:sz w:val="16"/>
          <w:szCs w:val="16"/>
        </w:rPr>
        <w:t>Lagos del Campo</w:t>
      </w:r>
      <w:r w:rsidR="009B3C35" w:rsidRPr="0060123C">
        <w:rPr>
          <w:rFonts w:ascii="Verdana" w:hAnsi="Verdana"/>
          <w:color w:val="000000" w:themeColor="text1"/>
          <w:sz w:val="16"/>
          <w:szCs w:val="16"/>
        </w:rPr>
        <w:t xml:space="preserve">: en el punto resolutivo undécimo de la Sentencia </w:t>
      </w:r>
      <w:r w:rsidR="00EA281A" w:rsidRPr="0060123C">
        <w:rPr>
          <w:rFonts w:ascii="Verdana" w:hAnsi="Verdana"/>
          <w:color w:val="000000" w:themeColor="text1"/>
          <w:sz w:val="16"/>
          <w:szCs w:val="16"/>
        </w:rPr>
        <w:t>se dispuso que el Estado debía pagar</w:t>
      </w:r>
      <w:r w:rsidR="000A7D53" w:rsidRPr="0060123C">
        <w:rPr>
          <w:rFonts w:ascii="Verdana" w:hAnsi="Verdana"/>
          <w:color w:val="000000" w:themeColor="text1"/>
          <w:sz w:val="16"/>
          <w:szCs w:val="16"/>
        </w:rPr>
        <w:t xml:space="preserve"> al señor </w:t>
      </w:r>
      <w:r w:rsidR="000A7D53" w:rsidRPr="0060123C">
        <w:rPr>
          <w:rFonts w:ascii="Verdana" w:hAnsi="Verdana"/>
          <w:sz w:val="16"/>
          <w:szCs w:val="16"/>
        </w:rPr>
        <w:t>Alfredo Lagos del Campo</w:t>
      </w:r>
      <w:r w:rsidR="009B3C35" w:rsidRPr="0060123C">
        <w:rPr>
          <w:rFonts w:ascii="Verdana" w:hAnsi="Verdana"/>
          <w:color w:val="000000" w:themeColor="text1"/>
          <w:sz w:val="16"/>
          <w:szCs w:val="16"/>
        </w:rPr>
        <w:t>: i)</w:t>
      </w:r>
      <w:r w:rsidR="00EA281A" w:rsidRPr="0060123C">
        <w:rPr>
          <w:rFonts w:ascii="Verdana" w:hAnsi="Verdana"/>
          <w:color w:val="000000" w:themeColor="text1"/>
          <w:sz w:val="16"/>
          <w:szCs w:val="16"/>
        </w:rPr>
        <w:t xml:space="preserve"> </w:t>
      </w:r>
      <w:r w:rsidR="00AC0CCE" w:rsidRPr="0060123C">
        <w:rPr>
          <w:rFonts w:ascii="Verdana" w:hAnsi="Verdana"/>
          <w:color w:val="000000" w:themeColor="text1"/>
          <w:sz w:val="16"/>
          <w:szCs w:val="16"/>
        </w:rPr>
        <w:t>por daño material</w:t>
      </w:r>
      <w:r w:rsidR="009B3C35" w:rsidRPr="0060123C">
        <w:rPr>
          <w:rFonts w:ascii="Verdana" w:hAnsi="Verdana"/>
          <w:color w:val="000000" w:themeColor="text1"/>
          <w:sz w:val="16"/>
          <w:szCs w:val="16"/>
        </w:rPr>
        <w:t xml:space="preserve"> la cantidad fijada en el párrafo 215 de la misma </w:t>
      </w:r>
      <w:r w:rsidR="007931EA" w:rsidRPr="0060123C">
        <w:rPr>
          <w:rFonts w:ascii="Verdana" w:hAnsi="Verdana"/>
          <w:color w:val="000000" w:themeColor="text1"/>
          <w:sz w:val="16"/>
          <w:szCs w:val="16"/>
        </w:rPr>
        <w:t>con motivo del</w:t>
      </w:r>
      <w:r w:rsidR="00AC3EE3" w:rsidRPr="0060123C">
        <w:rPr>
          <w:rFonts w:ascii="Verdana" w:hAnsi="Verdana"/>
          <w:color w:val="000000" w:themeColor="text1"/>
          <w:sz w:val="16"/>
          <w:szCs w:val="16"/>
        </w:rPr>
        <w:t xml:space="preserve"> </w:t>
      </w:r>
      <w:r w:rsidR="007931EA" w:rsidRPr="0060123C">
        <w:rPr>
          <w:rFonts w:ascii="Verdana" w:hAnsi="Verdana"/>
          <w:color w:val="000000" w:themeColor="text1"/>
          <w:sz w:val="16"/>
          <w:szCs w:val="16"/>
        </w:rPr>
        <w:t>despido</w:t>
      </w:r>
      <w:r w:rsidR="00961277" w:rsidRPr="0060123C">
        <w:rPr>
          <w:rFonts w:ascii="Verdana" w:hAnsi="Verdana"/>
          <w:color w:val="000000" w:themeColor="text1"/>
          <w:sz w:val="16"/>
          <w:szCs w:val="16"/>
        </w:rPr>
        <w:t xml:space="preserve"> arbitrario</w:t>
      </w:r>
      <w:r w:rsidR="007931EA" w:rsidRPr="0060123C">
        <w:rPr>
          <w:rFonts w:ascii="Verdana" w:hAnsi="Verdana"/>
          <w:color w:val="000000" w:themeColor="text1"/>
          <w:sz w:val="16"/>
          <w:szCs w:val="16"/>
        </w:rPr>
        <w:t xml:space="preserve"> y desprotección judicial que sufrió</w:t>
      </w:r>
      <w:r w:rsidR="009B3C35" w:rsidRPr="0060123C">
        <w:rPr>
          <w:rFonts w:ascii="Verdana" w:hAnsi="Verdana"/>
          <w:color w:val="000000" w:themeColor="text1"/>
          <w:sz w:val="16"/>
          <w:szCs w:val="16"/>
        </w:rPr>
        <w:t xml:space="preserve">; </w:t>
      </w:r>
      <w:proofErr w:type="spellStart"/>
      <w:r w:rsidR="009B3C35" w:rsidRPr="0060123C">
        <w:rPr>
          <w:rFonts w:ascii="Verdana" w:hAnsi="Verdana"/>
          <w:color w:val="000000" w:themeColor="text1"/>
          <w:sz w:val="16"/>
          <w:szCs w:val="16"/>
        </w:rPr>
        <w:t>ii</w:t>
      </w:r>
      <w:proofErr w:type="spellEnd"/>
      <w:r w:rsidR="009B3C35" w:rsidRPr="0060123C">
        <w:rPr>
          <w:rFonts w:ascii="Verdana" w:hAnsi="Verdana"/>
          <w:color w:val="000000" w:themeColor="text1"/>
          <w:sz w:val="16"/>
          <w:szCs w:val="16"/>
        </w:rPr>
        <w:t xml:space="preserve">) la cantidad fijada en el párrafo 216 de la Sentencia </w:t>
      </w:r>
      <w:r w:rsidR="000A7D53" w:rsidRPr="0060123C">
        <w:rPr>
          <w:rFonts w:ascii="Verdana" w:hAnsi="Verdana"/>
          <w:color w:val="000000" w:themeColor="text1"/>
          <w:sz w:val="16"/>
          <w:szCs w:val="16"/>
        </w:rPr>
        <w:t>con motivo de que perdió la posibilidad de acceder a una pensión y beneficios sociales</w:t>
      </w:r>
      <w:r w:rsidR="00961277" w:rsidRPr="0060123C">
        <w:rPr>
          <w:rFonts w:ascii="Verdana" w:hAnsi="Verdana"/>
          <w:color w:val="000000" w:themeColor="text1"/>
          <w:sz w:val="16"/>
          <w:szCs w:val="16"/>
        </w:rPr>
        <w:t xml:space="preserve">; </w:t>
      </w:r>
      <w:proofErr w:type="spellStart"/>
      <w:r w:rsidR="00961277" w:rsidRPr="0060123C">
        <w:rPr>
          <w:rFonts w:ascii="Verdana" w:hAnsi="Verdana"/>
          <w:color w:val="000000" w:themeColor="text1"/>
          <w:sz w:val="16"/>
          <w:szCs w:val="16"/>
        </w:rPr>
        <w:t>iii</w:t>
      </w:r>
      <w:proofErr w:type="spellEnd"/>
      <w:r w:rsidR="00961277" w:rsidRPr="0060123C">
        <w:rPr>
          <w:rFonts w:ascii="Verdana" w:hAnsi="Verdana"/>
          <w:color w:val="000000" w:themeColor="text1"/>
          <w:sz w:val="16"/>
          <w:szCs w:val="16"/>
        </w:rPr>
        <w:t xml:space="preserve">) la cantidad fijada en el párrafo 222 de la Sentencia en compensación </w:t>
      </w:r>
      <w:r w:rsidR="000A7D53" w:rsidRPr="0060123C">
        <w:rPr>
          <w:rFonts w:ascii="Verdana" w:hAnsi="Verdana"/>
          <w:color w:val="000000" w:themeColor="text1"/>
          <w:sz w:val="16"/>
          <w:szCs w:val="16"/>
        </w:rPr>
        <w:t xml:space="preserve">por daño inmaterial, y </w:t>
      </w:r>
      <w:proofErr w:type="spellStart"/>
      <w:r w:rsidR="00961277" w:rsidRPr="0060123C">
        <w:rPr>
          <w:rFonts w:ascii="Verdana" w:hAnsi="Verdana"/>
          <w:color w:val="000000" w:themeColor="text1"/>
          <w:sz w:val="16"/>
          <w:szCs w:val="16"/>
        </w:rPr>
        <w:t>iv</w:t>
      </w:r>
      <w:proofErr w:type="spellEnd"/>
      <w:r w:rsidR="001E6CE2" w:rsidRPr="0060123C">
        <w:rPr>
          <w:rFonts w:ascii="Verdana" w:hAnsi="Verdana"/>
          <w:color w:val="000000" w:themeColor="text1"/>
          <w:sz w:val="16"/>
          <w:szCs w:val="16"/>
        </w:rPr>
        <w:t xml:space="preserve">) la cantidad </w:t>
      </w:r>
      <w:r w:rsidR="00851428" w:rsidRPr="0060123C">
        <w:rPr>
          <w:rFonts w:ascii="Verdana" w:hAnsi="Verdana"/>
          <w:color w:val="000000" w:themeColor="text1"/>
          <w:sz w:val="16"/>
          <w:szCs w:val="16"/>
        </w:rPr>
        <w:t>fijada en el párrafo 227 del Fallo por el reintegro de</w:t>
      </w:r>
      <w:r w:rsidR="001E6CE2" w:rsidRPr="0060123C">
        <w:rPr>
          <w:rFonts w:ascii="Verdana" w:hAnsi="Verdana"/>
          <w:color w:val="000000" w:themeColor="text1"/>
          <w:sz w:val="16"/>
          <w:szCs w:val="16"/>
        </w:rPr>
        <w:t xml:space="preserve"> costas y gastos</w:t>
      </w:r>
      <w:r w:rsidR="005140E1" w:rsidRPr="0060123C">
        <w:rPr>
          <w:rFonts w:ascii="Verdana" w:hAnsi="Verdana"/>
          <w:color w:val="000000" w:themeColor="text1"/>
          <w:sz w:val="16"/>
          <w:szCs w:val="16"/>
        </w:rPr>
        <w:t xml:space="preserve">, la </w:t>
      </w:r>
      <w:r w:rsidR="001E6CE2" w:rsidRPr="0060123C">
        <w:rPr>
          <w:rFonts w:ascii="Verdana" w:hAnsi="Verdana"/>
          <w:color w:val="000000" w:themeColor="text1"/>
          <w:sz w:val="16"/>
          <w:szCs w:val="16"/>
        </w:rPr>
        <w:t>cual deb</w:t>
      </w:r>
      <w:r w:rsidR="005140E1" w:rsidRPr="0060123C">
        <w:rPr>
          <w:rFonts w:ascii="Verdana" w:hAnsi="Verdana"/>
          <w:color w:val="000000" w:themeColor="text1"/>
          <w:sz w:val="16"/>
          <w:szCs w:val="16"/>
        </w:rPr>
        <w:t>ía</w:t>
      </w:r>
      <w:r w:rsidR="001E6CE2" w:rsidRPr="0060123C">
        <w:rPr>
          <w:rFonts w:ascii="Verdana" w:hAnsi="Verdana"/>
          <w:color w:val="000000" w:themeColor="text1"/>
          <w:sz w:val="16"/>
          <w:szCs w:val="16"/>
        </w:rPr>
        <w:t xml:space="preserve"> </w:t>
      </w:r>
      <w:r w:rsidR="005140E1" w:rsidRPr="0060123C">
        <w:rPr>
          <w:rFonts w:ascii="Verdana" w:hAnsi="Verdana"/>
          <w:color w:val="000000" w:themeColor="text1"/>
          <w:sz w:val="16"/>
          <w:szCs w:val="16"/>
        </w:rPr>
        <w:t>“</w:t>
      </w:r>
      <w:r w:rsidR="001E6CE2" w:rsidRPr="0060123C">
        <w:rPr>
          <w:rFonts w:ascii="Verdana" w:hAnsi="Verdana"/>
          <w:color w:val="000000" w:themeColor="text1"/>
          <w:sz w:val="16"/>
          <w:szCs w:val="16"/>
        </w:rPr>
        <w:t>ser entregado al señor Lagos del Campo, quien entregará a sus representantes la</w:t>
      </w:r>
      <w:r w:rsidR="005140E1" w:rsidRPr="0060123C">
        <w:rPr>
          <w:rFonts w:ascii="Verdana" w:hAnsi="Verdana"/>
          <w:color w:val="000000" w:themeColor="text1"/>
          <w:sz w:val="16"/>
          <w:szCs w:val="16"/>
        </w:rPr>
        <w:t xml:space="preserve"> </w:t>
      </w:r>
      <w:r w:rsidR="001E6CE2" w:rsidRPr="0060123C">
        <w:rPr>
          <w:rFonts w:ascii="Verdana" w:hAnsi="Verdana"/>
          <w:color w:val="000000" w:themeColor="text1"/>
          <w:sz w:val="16"/>
          <w:szCs w:val="16"/>
        </w:rPr>
        <w:t>cantidad que corresponda, conforme a la asistencia que estos le hubieren prestado</w:t>
      </w:r>
      <w:r w:rsidR="005140E1" w:rsidRPr="0060123C">
        <w:rPr>
          <w:rFonts w:ascii="Verdana" w:hAnsi="Verdana"/>
          <w:color w:val="000000" w:themeColor="text1"/>
          <w:sz w:val="16"/>
          <w:szCs w:val="16"/>
        </w:rPr>
        <w:t>”</w:t>
      </w:r>
      <w:r w:rsidR="001E6CE2" w:rsidRPr="0060123C">
        <w:rPr>
          <w:rFonts w:ascii="Verdana" w:hAnsi="Verdana"/>
          <w:color w:val="000000" w:themeColor="text1"/>
          <w:sz w:val="16"/>
          <w:szCs w:val="16"/>
        </w:rPr>
        <w:t>.</w:t>
      </w:r>
      <w:r w:rsidR="007B7D37" w:rsidRPr="0060123C">
        <w:rPr>
          <w:rFonts w:ascii="Verdana" w:hAnsi="Verdana"/>
          <w:color w:val="000000" w:themeColor="text1"/>
          <w:sz w:val="16"/>
          <w:szCs w:val="16"/>
        </w:rPr>
        <w:t xml:space="preserve"> El plazo de un año para el cumplimiento de estas reparaciones venció el </w:t>
      </w:r>
      <w:r w:rsidR="00594E59" w:rsidRPr="0060123C">
        <w:rPr>
          <w:rFonts w:ascii="Verdana" w:hAnsi="Verdana"/>
          <w:color w:val="000000" w:themeColor="text1"/>
          <w:sz w:val="16"/>
          <w:szCs w:val="16"/>
        </w:rPr>
        <w:t>1</w:t>
      </w:r>
      <w:r w:rsidR="006D7BC1" w:rsidRPr="0060123C">
        <w:rPr>
          <w:rFonts w:ascii="Verdana" w:hAnsi="Verdana"/>
          <w:color w:val="000000" w:themeColor="text1"/>
          <w:sz w:val="16"/>
          <w:szCs w:val="16"/>
        </w:rPr>
        <w:t>4</w:t>
      </w:r>
      <w:r w:rsidR="00594E59" w:rsidRPr="0060123C">
        <w:rPr>
          <w:rFonts w:ascii="Verdana" w:hAnsi="Verdana"/>
          <w:color w:val="000000" w:themeColor="text1"/>
          <w:sz w:val="16"/>
          <w:szCs w:val="16"/>
        </w:rPr>
        <w:t xml:space="preserve"> de noviembre de 2018</w:t>
      </w:r>
      <w:r w:rsidR="007B7D37" w:rsidRPr="0060123C">
        <w:rPr>
          <w:rFonts w:ascii="Verdana" w:hAnsi="Verdana"/>
          <w:color w:val="000000" w:themeColor="text1"/>
          <w:sz w:val="16"/>
          <w:szCs w:val="16"/>
        </w:rPr>
        <w:t>.</w:t>
      </w:r>
      <w:r w:rsidR="009E495B" w:rsidRPr="0060123C">
        <w:rPr>
          <w:rFonts w:ascii="Verdana" w:hAnsi="Verdana"/>
          <w:color w:val="000000" w:themeColor="text1"/>
          <w:sz w:val="16"/>
          <w:szCs w:val="16"/>
        </w:rPr>
        <w:t xml:space="preserve"> </w:t>
      </w:r>
    </w:p>
    <w:p w14:paraId="23A9C239" w14:textId="2EFFC072" w:rsidR="00CF502D" w:rsidRDefault="00224AA0" w:rsidP="003B259F">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En Resoluciones </w:t>
      </w:r>
      <w:r w:rsidR="00C81390" w:rsidRPr="0060123C">
        <w:rPr>
          <w:rFonts w:ascii="Verdana" w:hAnsi="Verdana"/>
          <w:color w:val="000000" w:themeColor="text1"/>
          <w:sz w:val="20"/>
          <w:szCs w:val="20"/>
        </w:rPr>
        <w:t>emitidas</w:t>
      </w:r>
      <w:r w:rsidR="00A3463F" w:rsidRPr="0060123C">
        <w:rPr>
          <w:rFonts w:ascii="Verdana" w:hAnsi="Verdana"/>
          <w:color w:val="000000" w:themeColor="text1"/>
          <w:sz w:val="20"/>
          <w:szCs w:val="20"/>
        </w:rPr>
        <w:t xml:space="preserve"> </w:t>
      </w:r>
      <w:r w:rsidR="00C35D39" w:rsidRPr="0060123C">
        <w:rPr>
          <w:rFonts w:ascii="Verdana" w:hAnsi="Verdana"/>
          <w:color w:val="000000" w:themeColor="text1"/>
          <w:sz w:val="20"/>
          <w:szCs w:val="20"/>
        </w:rPr>
        <w:t xml:space="preserve">entre los años </w:t>
      </w:r>
      <w:r w:rsidR="007E523B" w:rsidRPr="0060123C">
        <w:rPr>
          <w:rFonts w:ascii="Verdana" w:hAnsi="Verdana"/>
          <w:color w:val="000000" w:themeColor="text1"/>
          <w:sz w:val="20"/>
          <w:szCs w:val="20"/>
        </w:rPr>
        <w:t>2018</w:t>
      </w:r>
      <w:r w:rsidR="00C35D39" w:rsidRPr="0060123C">
        <w:rPr>
          <w:rFonts w:ascii="Verdana" w:hAnsi="Verdana"/>
          <w:color w:val="000000" w:themeColor="text1"/>
          <w:sz w:val="20"/>
          <w:szCs w:val="20"/>
        </w:rPr>
        <w:t xml:space="preserve"> a </w:t>
      </w:r>
      <w:r w:rsidR="007E523B" w:rsidRPr="0060123C">
        <w:rPr>
          <w:rFonts w:ascii="Verdana" w:hAnsi="Verdana"/>
          <w:color w:val="000000" w:themeColor="text1"/>
          <w:sz w:val="20"/>
          <w:szCs w:val="20"/>
        </w:rPr>
        <w:t>2020</w:t>
      </w:r>
      <w:r w:rsidR="009E1C12" w:rsidRPr="0060123C">
        <w:rPr>
          <w:rFonts w:ascii="Verdana" w:hAnsi="Verdana"/>
          <w:color w:val="000000" w:themeColor="text1"/>
          <w:sz w:val="20"/>
          <w:szCs w:val="20"/>
        </w:rPr>
        <w:t xml:space="preserve"> </w:t>
      </w:r>
      <w:r w:rsidR="007E523B" w:rsidRPr="0060123C">
        <w:rPr>
          <w:rFonts w:ascii="Verdana" w:hAnsi="Verdana"/>
          <w:color w:val="000000" w:themeColor="text1"/>
          <w:sz w:val="20"/>
          <w:szCs w:val="20"/>
        </w:rPr>
        <w:t>en los casos</w:t>
      </w:r>
      <w:r w:rsidR="00A3463F" w:rsidRPr="0060123C">
        <w:rPr>
          <w:rFonts w:ascii="Verdana" w:hAnsi="Verdana"/>
          <w:color w:val="000000" w:themeColor="text1"/>
          <w:sz w:val="20"/>
          <w:szCs w:val="20"/>
        </w:rPr>
        <w:t xml:space="preserve"> </w:t>
      </w:r>
      <w:r w:rsidR="007E523B" w:rsidRPr="0060123C">
        <w:rPr>
          <w:rFonts w:ascii="Verdana" w:hAnsi="Verdana"/>
          <w:i/>
          <w:iCs/>
          <w:color w:val="000000" w:themeColor="text1"/>
          <w:sz w:val="20"/>
          <w:szCs w:val="20"/>
        </w:rPr>
        <w:t xml:space="preserve">Wong Ho </w:t>
      </w:r>
      <w:proofErr w:type="spellStart"/>
      <w:r w:rsidR="007E523B" w:rsidRPr="0060123C">
        <w:rPr>
          <w:rFonts w:ascii="Verdana" w:hAnsi="Verdana"/>
          <w:i/>
          <w:iCs/>
          <w:color w:val="000000" w:themeColor="text1"/>
          <w:sz w:val="20"/>
          <w:szCs w:val="20"/>
        </w:rPr>
        <w:t>Wing</w:t>
      </w:r>
      <w:proofErr w:type="spellEnd"/>
      <w:r w:rsidR="00A3463F" w:rsidRPr="0060123C">
        <w:rPr>
          <w:rFonts w:ascii="Verdana" w:hAnsi="Verdana"/>
          <w:color w:val="000000" w:themeColor="text1"/>
          <w:sz w:val="20"/>
          <w:szCs w:val="20"/>
        </w:rPr>
        <w:t xml:space="preserve">, </w:t>
      </w:r>
      <w:r w:rsidR="007E523B" w:rsidRPr="0060123C">
        <w:rPr>
          <w:rFonts w:ascii="Verdana" w:hAnsi="Verdana"/>
          <w:i/>
          <w:iCs/>
          <w:color w:val="000000" w:themeColor="text1"/>
          <w:sz w:val="20"/>
          <w:szCs w:val="20"/>
        </w:rPr>
        <w:t>Tarazona Arrieta y otros</w:t>
      </w:r>
      <w:r w:rsidR="001E5F0C" w:rsidRPr="0060123C">
        <w:rPr>
          <w:rFonts w:ascii="Verdana" w:hAnsi="Verdana"/>
          <w:i/>
          <w:iCs/>
          <w:color w:val="000000" w:themeColor="text1"/>
          <w:sz w:val="20"/>
          <w:szCs w:val="20"/>
        </w:rPr>
        <w:t>,</w:t>
      </w:r>
      <w:r w:rsidR="00A3463F" w:rsidRPr="0060123C">
        <w:rPr>
          <w:rFonts w:ascii="Verdana" w:hAnsi="Verdana"/>
          <w:color w:val="000000" w:themeColor="text1"/>
          <w:sz w:val="20"/>
          <w:szCs w:val="20"/>
        </w:rPr>
        <w:t xml:space="preserve"> </w:t>
      </w:r>
      <w:r w:rsidR="00A3463F" w:rsidRPr="0060123C">
        <w:rPr>
          <w:rFonts w:ascii="Verdana" w:hAnsi="Verdana"/>
          <w:i/>
          <w:iCs/>
          <w:color w:val="000000" w:themeColor="text1"/>
          <w:sz w:val="20"/>
          <w:szCs w:val="20"/>
        </w:rPr>
        <w:t>Canales Huapaya y otros,</w:t>
      </w:r>
      <w:r w:rsidR="00A3463F" w:rsidRPr="0060123C">
        <w:rPr>
          <w:rFonts w:ascii="Verdana" w:hAnsi="Verdana"/>
          <w:color w:val="000000" w:themeColor="text1"/>
          <w:sz w:val="20"/>
          <w:szCs w:val="20"/>
        </w:rPr>
        <w:t xml:space="preserve"> y</w:t>
      </w:r>
      <w:r w:rsidR="00A3463F" w:rsidRPr="0060123C">
        <w:rPr>
          <w:rFonts w:ascii="Verdana" w:hAnsi="Verdana"/>
          <w:i/>
          <w:iCs/>
          <w:color w:val="000000" w:themeColor="text1"/>
          <w:sz w:val="20"/>
          <w:szCs w:val="20"/>
        </w:rPr>
        <w:t xml:space="preserve"> Zegarra Marín</w:t>
      </w:r>
      <w:r w:rsidR="00C81390" w:rsidRPr="0060123C">
        <w:rPr>
          <w:rFonts w:ascii="Verdana" w:hAnsi="Verdana"/>
          <w:color w:val="000000" w:themeColor="text1"/>
          <w:sz w:val="20"/>
          <w:szCs w:val="20"/>
        </w:rPr>
        <w:t xml:space="preserve"> (</w:t>
      </w:r>
      <w:r w:rsidR="00C81390" w:rsidRPr="0060123C">
        <w:rPr>
          <w:rFonts w:ascii="Verdana" w:hAnsi="Verdana"/>
          <w:i/>
          <w:iCs/>
          <w:color w:val="000000" w:themeColor="text1"/>
          <w:sz w:val="20"/>
          <w:szCs w:val="20"/>
        </w:rPr>
        <w:t>supra</w:t>
      </w:r>
      <w:r w:rsidR="00C81390" w:rsidRPr="0060123C">
        <w:rPr>
          <w:rFonts w:ascii="Verdana" w:hAnsi="Verdana"/>
          <w:color w:val="000000" w:themeColor="text1"/>
          <w:sz w:val="20"/>
          <w:szCs w:val="20"/>
        </w:rPr>
        <w:t xml:space="preserve"> Visto </w:t>
      </w:r>
      <w:r w:rsidR="005D663B">
        <w:rPr>
          <w:rFonts w:ascii="Verdana" w:hAnsi="Verdana"/>
          <w:color w:val="000000" w:themeColor="text1"/>
          <w:sz w:val="20"/>
          <w:szCs w:val="20"/>
        </w:rPr>
        <w:t>2</w:t>
      </w:r>
      <w:r w:rsidR="00C81390" w:rsidRPr="0060123C">
        <w:rPr>
          <w:rFonts w:ascii="Verdana" w:hAnsi="Verdana"/>
          <w:color w:val="000000" w:themeColor="text1"/>
          <w:sz w:val="20"/>
          <w:szCs w:val="20"/>
        </w:rPr>
        <w:t>)</w:t>
      </w:r>
      <w:r w:rsidR="009C209C" w:rsidRPr="0060123C">
        <w:rPr>
          <w:rFonts w:ascii="Verdana" w:hAnsi="Verdana"/>
          <w:color w:val="000000" w:themeColor="text1"/>
          <w:sz w:val="20"/>
          <w:szCs w:val="20"/>
        </w:rPr>
        <w:t xml:space="preserve">, la Corte </w:t>
      </w:r>
      <w:r w:rsidR="00AC5AC2" w:rsidRPr="0060123C">
        <w:rPr>
          <w:rFonts w:ascii="Verdana" w:hAnsi="Verdana"/>
          <w:color w:val="000000" w:themeColor="text1"/>
          <w:sz w:val="20"/>
          <w:szCs w:val="20"/>
        </w:rPr>
        <w:t>constató</w:t>
      </w:r>
      <w:r w:rsidR="009349F9" w:rsidRPr="0060123C">
        <w:rPr>
          <w:rFonts w:ascii="Verdana" w:hAnsi="Verdana"/>
          <w:color w:val="000000" w:themeColor="text1"/>
          <w:sz w:val="20"/>
          <w:szCs w:val="20"/>
        </w:rPr>
        <w:t xml:space="preserve"> que</w:t>
      </w:r>
      <w:r w:rsidR="00A8304B" w:rsidRPr="0060123C">
        <w:rPr>
          <w:rFonts w:ascii="Verdana" w:hAnsi="Verdana"/>
          <w:color w:val="000000" w:themeColor="text1"/>
          <w:sz w:val="20"/>
          <w:szCs w:val="20"/>
        </w:rPr>
        <w:t>,</w:t>
      </w:r>
      <w:r w:rsidR="000B7C92" w:rsidRPr="0060123C">
        <w:rPr>
          <w:rFonts w:ascii="Verdana" w:hAnsi="Verdana"/>
          <w:color w:val="000000" w:themeColor="text1"/>
          <w:sz w:val="20"/>
          <w:szCs w:val="20"/>
        </w:rPr>
        <w:t xml:space="preserve"> durante la </w:t>
      </w:r>
      <w:r w:rsidR="00502F7B" w:rsidRPr="0060123C">
        <w:rPr>
          <w:rFonts w:ascii="Verdana" w:hAnsi="Verdana"/>
          <w:color w:val="000000" w:themeColor="text1"/>
          <w:sz w:val="20"/>
          <w:szCs w:val="20"/>
        </w:rPr>
        <w:t xml:space="preserve">etapa de </w:t>
      </w:r>
      <w:r w:rsidR="000B7C92" w:rsidRPr="0060123C">
        <w:rPr>
          <w:rFonts w:ascii="Verdana" w:hAnsi="Verdana"/>
          <w:color w:val="000000" w:themeColor="text1"/>
          <w:sz w:val="20"/>
          <w:szCs w:val="20"/>
        </w:rPr>
        <w:t>supervisión de cumplimiento de las Sentencias</w:t>
      </w:r>
      <w:r w:rsidR="00A8304B" w:rsidRPr="0060123C">
        <w:rPr>
          <w:rFonts w:ascii="Verdana" w:hAnsi="Verdana"/>
          <w:color w:val="000000" w:themeColor="text1"/>
          <w:sz w:val="20"/>
          <w:szCs w:val="20"/>
        </w:rPr>
        <w:t>,</w:t>
      </w:r>
      <w:r w:rsidR="00AC5AC2" w:rsidRPr="0060123C">
        <w:rPr>
          <w:rFonts w:ascii="Verdana" w:hAnsi="Verdana"/>
          <w:color w:val="000000" w:themeColor="text1"/>
          <w:sz w:val="20"/>
          <w:szCs w:val="20"/>
        </w:rPr>
        <w:t xml:space="preserve"> </w:t>
      </w:r>
      <w:r w:rsidR="009349F9" w:rsidRPr="0060123C">
        <w:rPr>
          <w:rFonts w:ascii="Verdana" w:hAnsi="Verdana"/>
          <w:color w:val="000000" w:themeColor="text1"/>
          <w:sz w:val="20"/>
          <w:szCs w:val="20"/>
        </w:rPr>
        <w:t xml:space="preserve">el </w:t>
      </w:r>
      <w:r w:rsidR="00A8304B" w:rsidRPr="0060123C">
        <w:rPr>
          <w:rFonts w:ascii="Verdana" w:hAnsi="Verdana"/>
          <w:color w:val="000000" w:themeColor="text1"/>
          <w:sz w:val="20"/>
          <w:szCs w:val="20"/>
        </w:rPr>
        <w:t>Estado</w:t>
      </w:r>
      <w:r w:rsidR="009349F9" w:rsidRPr="0060123C">
        <w:rPr>
          <w:rFonts w:ascii="Verdana" w:hAnsi="Verdana"/>
          <w:color w:val="000000" w:themeColor="text1"/>
          <w:sz w:val="20"/>
          <w:szCs w:val="20"/>
        </w:rPr>
        <w:t xml:space="preserve"> </w:t>
      </w:r>
      <w:r w:rsidR="009C209C" w:rsidRPr="0060123C">
        <w:rPr>
          <w:rFonts w:ascii="Verdana" w:hAnsi="Verdana"/>
          <w:color w:val="000000" w:themeColor="text1"/>
          <w:sz w:val="20"/>
          <w:szCs w:val="20"/>
        </w:rPr>
        <w:t>informó</w:t>
      </w:r>
      <w:r w:rsidR="00CF7DC1" w:rsidRPr="0060123C">
        <w:rPr>
          <w:rFonts w:ascii="Verdana" w:hAnsi="Verdana"/>
          <w:color w:val="000000" w:themeColor="text1"/>
          <w:sz w:val="20"/>
          <w:szCs w:val="20"/>
        </w:rPr>
        <w:t xml:space="preserve"> </w:t>
      </w:r>
      <w:r w:rsidR="009349F9" w:rsidRPr="0060123C">
        <w:rPr>
          <w:rFonts w:ascii="Verdana" w:hAnsi="Verdana"/>
          <w:color w:val="000000" w:themeColor="text1"/>
          <w:sz w:val="20"/>
          <w:szCs w:val="20"/>
        </w:rPr>
        <w:t xml:space="preserve">que </w:t>
      </w:r>
      <w:r w:rsidR="000B7C92" w:rsidRPr="0060123C">
        <w:rPr>
          <w:rFonts w:ascii="Verdana" w:hAnsi="Verdana"/>
          <w:color w:val="000000" w:themeColor="text1"/>
          <w:sz w:val="20"/>
          <w:szCs w:val="20"/>
        </w:rPr>
        <w:t>los pagos y reintegros dispuestos</w:t>
      </w:r>
      <w:r w:rsidR="00137F0B" w:rsidRPr="0060123C">
        <w:rPr>
          <w:rFonts w:ascii="Verdana" w:hAnsi="Verdana"/>
          <w:color w:val="000000" w:themeColor="text1"/>
          <w:sz w:val="20"/>
          <w:szCs w:val="20"/>
        </w:rPr>
        <w:t xml:space="preserve"> (</w:t>
      </w:r>
      <w:r w:rsidR="00137F0B" w:rsidRPr="0060123C">
        <w:rPr>
          <w:rFonts w:ascii="Verdana" w:hAnsi="Verdana"/>
          <w:i/>
          <w:iCs/>
          <w:color w:val="000000" w:themeColor="text1"/>
          <w:sz w:val="20"/>
          <w:szCs w:val="20"/>
        </w:rPr>
        <w:t>supra</w:t>
      </w:r>
      <w:r w:rsidR="00137F0B" w:rsidRPr="0060123C">
        <w:rPr>
          <w:rFonts w:ascii="Verdana" w:hAnsi="Verdana"/>
          <w:color w:val="000000" w:themeColor="text1"/>
          <w:sz w:val="20"/>
          <w:szCs w:val="20"/>
        </w:rPr>
        <w:t xml:space="preserve"> Considerando 4)</w:t>
      </w:r>
      <w:r w:rsidR="000B7C92" w:rsidRPr="0060123C">
        <w:rPr>
          <w:rFonts w:ascii="Verdana" w:hAnsi="Verdana"/>
          <w:color w:val="000000" w:themeColor="text1"/>
          <w:sz w:val="20"/>
          <w:szCs w:val="20"/>
        </w:rPr>
        <w:t xml:space="preserve"> </w:t>
      </w:r>
      <w:r w:rsidR="00AC5AC2" w:rsidRPr="0060123C">
        <w:rPr>
          <w:rFonts w:ascii="Verdana" w:hAnsi="Verdana"/>
          <w:color w:val="000000" w:themeColor="text1"/>
          <w:sz w:val="20"/>
          <w:szCs w:val="20"/>
        </w:rPr>
        <w:t>dependía</w:t>
      </w:r>
      <w:r w:rsidR="00C35D39" w:rsidRPr="0060123C">
        <w:rPr>
          <w:rFonts w:ascii="Verdana" w:hAnsi="Verdana"/>
          <w:color w:val="000000" w:themeColor="text1"/>
          <w:sz w:val="20"/>
          <w:szCs w:val="20"/>
        </w:rPr>
        <w:t>n</w:t>
      </w:r>
      <w:r w:rsidR="00AC5AC2" w:rsidRPr="0060123C">
        <w:rPr>
          <w:rFonts w:ascii="Verdana" w:hAnsi="Verdana"/>
          <w:color w:val="000000" w:themeColor="text1"/>
          <w:sz w:val="20"/>
          <w:szCs w:val="20"/>
        </w:rPr>
        <w:t xml:space="preserve"> de la adopción</w:t>
      </w:r>
      <w:r w:rsidR="00A8304B" w:rsidRPr="0060123C">
        <w:rPr>
          <w:rFonts w:ascii="Verdana" w:hAnsi="Verdana"/>
          <w:color w:val="000000" w:themeColor="text1"/>
          <w:sz w:val="20"/>
          <w:szCs w:val="20"/>
        </w:rPr>
        <w:t>, en cada uno de los casos,</w:t>
      </w:r>
      <w:r w:rsidR="009349F9" w:rsidRPr="0060123C">
        <w:rPr>
          <w:rFonts w:ascii="Verdana" w:hAnsi="Verdana"/>
          <w:color w:val="000000" w:themeColor="text1"/>
          <w:sz w:val="20"/>
          <w:szCs w:val="20"/>
        </w:rPr>
        <w:t xml:space="preserve"> </w:t>
      </w:r>
      <w:r w:rsidR="00CF7DC1" w:rsidRPr="0060123C">
        <w:rPr>
          <w:rFonts w:ascii="Verdana" w:hAnsi="Verdana"/>
          <w:color w:val="000000" w:themeColor="text1"/>
          <w:sz w:val="20"/>
          <w:szCs w:val="20"/>
        </w:rPr>
        <w:t xml:space="preserve">de un acuerdo del Consejo de Defensa Jurídica del Estado en el que se debía definir e individualizar </w:t>
      </w:r>
      <w:r w:rsidR="009349F9" w:rsidRPr="0060123C">
        <w:rPr>
          <w:rFonts w:ascii="Verdana" w:hAnsi="Verdana"/>
          <w:color w:val="000000" w:themeColor="text1"/>
          <w:sz w:val="20"/>
          <w:szCs w:val="20"/>
        </w:rPr>
        <w:t>las entidades</w:t>
      </w:r>
      <w:r w:rsidR="000B7C92" w:rsidRPr="0060123C">
        <w:rPr>
          <w:rFonts w:ascii="Verdana" w:hAnsi="Verdana"/>
          <w:color w:val="000000" w:themeColor="text1"/>
          <w:sz w:val="20"/>
          <w:szCs w:val="20"/>
        </w:rPr>
        <w:t xml:space="preserve"> y/o </w:t>
      </w:r>
      <w:r w:rsidR="00AC5AC2" w:rsidRPr="0060123C">
        <w:rPr>
          <w:rFonts w:ascii="Verdana" w:hAnsi="Verdana"/>
          <w:color w:val="000000" w:themeColor="text1"/>
          <w:sz w:val="20"/>
          <w:szCs w:val="20"/>
        </w:rPr>
        <w:t>instituciones estatales</w:t>
      </w:r>
      <w:r w:rsidR="009349F9" w:rsidRPr="0060123C">
        <w:rPr>
          <w:rFonts w:ascii="Verdana" w:hAnsi="Verdana"/>
          <w:color w:val="000000" w:themeColor="text1"/>
          <w:sz w:val="20"/>
          <w:szCs w:val="20"/>
        </w:rPr>
        <w:t xml:space="preserve"> responsables de</w:t>
      </w:r>
      <w:r w:rsidR="000B7C92" w:rsidRPr="0060123C">
        <w:rPr>
          <w:rFonts w:ascii="Verdana" w:hAnsi="Verdana"/>
          <w:color w:val="000000" w:themeColor="text1"/>
          <w:sz w:val="20"/>
          <w:szCs w:val="20"/>
        </w:rPr>
        <w:t xml:space="preserve"> </w:t>
      </w:r>
      <w:r w:rsidR="00763267" w:rsidRPr="0060123C">
        <w:rPr>
          <w:rFonts w:ascii="Verdana" w:hAnsi="Verdana"/>
          <w:color w:val="000000" w:themeColor="text1"/>
          <w:sz w:val="20"/>
          <w:szCs w:val="20"/>
        </w:rPr>
        <w:t>realizarlo</w:t>
      </w:r>
      <w:r w:rsidR="00137F0B" w:rsidRPr="0060123C">
        <w:rPr>
          <w:rFonts w:ascii="Verdana" w:hAnsi="Verdana"/>
          <w:color w:val="000000" w:themeColor="text1"/>
          <w:sz w:val="20"/>
          <w:szCs w:val="20"/>
        </w:rPr>
        <w:t>s</w:t>
      </w:r>
      <w:r w:rsidR="00B1259A" w:rsidRPr="0060123C">
        <w:rPr>
          <w:rFonts w:ascii="Verdana" w:hAnsi="Verdana"/>
          <w:color w:val="000000" w:themeColor="text1"/>
          <w:sz w:val="20"/>
          <w:szCs w:val="20"/>
        </w:rPr>
        <w:t>, decisiones que no habían sido adoptadas</w:t>
      </w:r>
      <w:r w:rsidR="00AB2492" w:rsidRPr="0060123C">
        <w:rPr>
          <w:rFonts w:ascii="Verdana" w:hAnsi="Verdana"/>
          <w:color w:val="000000" w:themeColor="text1"/>
          <w:sz w:val="20"/>
          <w:szCs w:val="20"/>
        </w:rPr>
        <w:t>.</w:t>
      </w:r>
      <w:r w:rsidR="000B7C92" w:rsidRPr="0060123C">
        <w:rPr>
          <w:rFonts w:ascii="Verdana" w:hAnsi="Verdana"/>
          <w:color w:val="000000" w:themeColor="text1"/>
          <w:sz w:val="20"/>
          <w:szCs w:val="20"/>
        </w:rPr>
        <w:t xml:space="preserve"> </w:t>
      </w:r>
      <w:r w:rsidR="009E1C12" w:rsidRPr="0060123C">
        <w:rPr>
          <w:rFonts w:ascii="Verdana" w:hAnsi="Verdana"/>
          <w:color w:val="000000" w:themeColor="text1"/>
          <w:sz w:val="20"/>
          <w:szCs w:val="20"/>
        </w:rPr>
        <w:t>Por tanto, e</w:t>
      </w:r>
      <w:r w:rsidR="000B7C92" w:rsidRPr="0060123C">
        <w:rPr>
          <w:rFonts w:ascii="Verdana" w:hAnsi="Verdana"/>
          <w:color w:val="000000" w:themeColor="text1"/>
          <w:sz w:val="20"/>
          <w:szCs w:val="20"/>
        </w:rPr>
        <w:t xml:space="preserve">n </w:t>
      </w:r>
      <w:r w:rsidR="003B259F" w:rsidRPr="0060123C">
        <w:rPr>
          <w:rFonts w:ascii="Verdana" w:hAnsi="Verdana"/>
          <w:color w:val="000000" w:themeColor="text1"/>
          <w:sz w:val="20"/>
          <w:szCs w:val="20"/>
        </w:rPr>
        <w:t>dichas</w:t>
      </w:r>
      <w:r w:rsidR="000B7C92" w:rsidRPr="0060123C">
        <w:rPr>
          <w:rFonts w:ascii="Verdana" w:hAnsi="Verdana"/>
          <w:color w:val="000000" w:themeColor="text1"/>
          <w:sz w:val="20"/>
          <w:szCs w:val="20"/>
        </w:rPr>
        <w:t xml:space="preserve"> Resoluciones este Tribunal concluyó que </w:t>
      </w:r>
      <w:r w:rsidR="005C2E36" w:rsidRPr="0060123C">
        <w:rPr>
          <w:rFonts w:ascii="Verdana" w:hAnsi="Verdana"/>
          <w:color w:val="000000" w:themeColor="text1"/>
          <w:sz w:val="20"/>
          <w:szCs w:val="20"/>
        </w:rPr>
        <w:t>se encontraba pendiente el cumplimiento de tales medidas de reparación</w:t>
      </w:r>
      <w:r w:rsidR="00BE2052" w:rsidRPr="0060123C">
        <w:rPr>
          <w:rFonts w:ascii="Verdana" w:hAnsi="Verdana"/>
          <w:color w:val="000000" w:themeColor="text1"/>
          <w:sz w:val="20"/>
          <w:szCs w:val="20"/>
        </w:rPr>
        <w:t xml:space="preserve"> </w:t>
      </w:r>
      <w:r w:rsidR="000B7C92" w:rsidRPr="0060123C">
        <w:rPr>
          <w:rFonts w:ascii="Verdana" w:hAnsi="Verdana"/>
          <w:color w:val="000000" w:themeColor="text1"/>
          <w:sz w:val="20"/>
          <w:szCs w:val="20"/>
        </w:rPr>
        <w:t xml:space="preserve">y solicitó </w:t>
      </w:r>
      <w:r w:rsidR="00FF36DF" w:rsidRPr="0060123C">
        <w:rPr>
          <w:rFonts w:ascii="Verdana" w:hAnsi="Verdana"/>
          <w:color w:val="000000" w:themeColor="text1"/>
          <w:sz w:val="20"/>
          <w:szCs w:val="20"/>
        </w:rPr>
        <w:t>a</w:t>
      </w:r>
      <w:r w:rsidR="005C2E36" w:rsidRPr="0060123C">
        <w:rPr>
          <w:rFonts w:ascii="Verdana" w:hAnsi="Verdana"/>
          <w:color w:val="000000" w:themeColor="text1"/>
          <w:sz w:val="20"/>
          <w:szCs w:val="20"/>
        </w:rPr>
        <w:t xml:space="preserve">l Estado </w:t>
      </w:r>
      <w:r w:rsidR="00FF36DF" w:rsidRPr="0060123C">
        <w:rPr>
          <w:rFonts w:ascii="Verdana" w:hAnsi="Verdana"/>
          <w:color w:val="000000" w:themeColor="text1"/>
          <w:sz w:val="20"/>
          <w:szCs w:val="20"/>
        </w:rPr>
        <w:t xml:space="preserve">que </w:t>
      </w:r>
      <w:r w:rsidR="000B7C92" w:rsidRPr="0060123C">
        <w:rPr>
          <w:rFonts w:ascii="Verdana" w:hAnsi="Verdana"/>
          <w:color w:val="000000" w:themeColor="text1"/>
          <w:sz w:val="20"/>
          <w:szCs w:val="20"/>
        </w:rPr>
        <w:t xml:space="preserve">presentara información </w:t>
      </w:r>
      <w:r w:rsidR="00BE2052" w:rsidRPr="0060123C">
        <w:rPr>
          <w:rFonts w:ascii="Verdana" w:hAnsi="Verdana"/>
          <w:color w:val="000000" w:themeColor="text1"/>
          <w:sz w:val="20"/>
          <w:szCs w:val="20"/>
        </w:rPr>
        <w:t>sobre su cumplimiento</w:t>
      </w:r>
      <w:r w:rsidR="005C2E36" w:rsidRPr="0060123C">
        <w:rPr>
          <w:rFonts w:ascii="Verdana" w:hAnsi="Verdana"/>
          <w:color w:val="000000" w:themeColor="text1"/>
          <w:sz w:val="20"/>
          <w:szCs w:val="20"/>
        </w:rPr>
        <w:t>, incluyendo el pago de los intereses moratori</w:t>
      </w:r>
      <w:r w:rsidR="003B259F" w:rsidRPr="0060123C">
        <w:rPr>
          <w:rFonts w:ascii="Verdana" w:hAnsi="Verdana"/>
          <w:color w:val="000000" w:themeColor="text1"/>
          <w:sz w:val="20"/>
          <w:szCs w:val="20"/>
        </w:rPr>
        <w:t>o</w:t>
      </w:r>
      <w:r w:rsidR="005C2E36" w:rsidRPr="0060123C">
        <w:rPr>
          <w:rFonts w:ascii="Verdana" w:hAnsi="Verdana"/>
          <w:color w:val="000000" w:themeColor="text1"/>
          <w:sz w:val="20"/>
          <w:szCs w:val="20"/>
        </w:rPr>
        <w:t xml:space="preserve">s que se </w:t>
      </w:r>
      <w:r w:rsidR="003B259F" w:rsidRPr="0060123C">
        <w:rPr>
          <w:rFonts w:ascii="Verdana" w:hAnsi="Verdana"/>
          <w:color w:val="000000" w:themeColor="text1"/>
          <w:sz w:val="20"/>
          <w:szCs w:val="20"/>
        </w:rPr>
        <w:t>encontraban</w:t>
      </w:r>
      <w:r w:rsidR="005C2E36" w:rsidRPr="0060123C">
        <w:rPr>
          <w:rFonts w:ascii="Verdana" w:hAnsi="Verdana"/>
          <w:color w:val="000000" w:themeColor="text1"/>
          <w:sz w:val="20"/>
          <w:szCs w:val="20"/>
        </w:rPr>
        <w:t xml:space="preserve"> adeudados</w:t>
      </w:r>
      <w:r w:rsidR="00CF502D" w:rsidRPr="0060123C">
        <w:rPr>
          <w:rFonts w:ascii="Verdana" w:hAnsi="Verdana"/>
          <w:color w:val="000000" w:themeColor="text1"/>
          <w:sz w:val="20"/>
          <w:szCs w:val="20"/>
        </w:rPr>
        <w:t>.</w:t>
      </w:r>
    </w:p>
    <w:p w14:paraId="2486939C" w14:textId="59D97D82" w:rsidR="00A04B36" w:rsidRDefault="00A04B36" w:rsidP="00A04B36">
      <w:pPr>
        <w:pStyle w:val="Prrafodelista"/>
        <w:spacing w:before="120" w:after="120"/>
        <w:ind w:left="0"/>
        <w:jc w:val="both"/>
        <w:rPr>
          <w:rFonts w:ascii="Verdana" w:hAnsi="Verdana"/>
          <w:color w:val="000000" w:themeColor="text1"/>
          <w:sz w:val="20"/>
          <w:szCs w:val="20"/>
        </w:rPr>
      </w:pPr>
    </w:p>
    <w:p w14:paraId="07B0BE68" w14:textId="77777777" w:rsidR="00A04B36" w:rsidRPr="0060123C" w:rsidRDefault="00A04B36" w:rsidP="00A04B36">
      <w:pPr>
        <w:pStyle w:val="Prrafodelista"/>
        <w:spacing w:before="120" w:after="120"/>
        <w:ind w:left="0"/>
        <w:jc w:val="both"/>
        <w:rPr>
          <w:rFonts w:ascii="Verdana" w:hAnsi="Verdana"/>
          <w:color w:val="000000" w:themeColor="text1"/>
          <w:sz w:val="20"/>
          <w:szCs w:val="20"/>
        </w:rPr>
      </w:pPr>
    </w:p>
    <w:p w14:paraId="3BAF6E64" w14:textId="7F0E2E7A" w:rsidR="00950FA1" w:rsidRPr="0060123C" w:rsidRDefault="00833C85" w:rsidP="009A0692">
      <w:pPr>
        <w:pStyle w:val="Prrafodelista"/>
        <w:numPr>
          <w:ilvl w:val="0"/>
          <w:numId w:val="6"/>
        </w:numPr>
        <w:spacing w:before="120" w:after="120"/>
        <w:ind w:left="851"/>
        <w:jc w:val="both"/>
        <w:rPr>
          <w:rFonts w:ascii="Verdana" w:hAnsi="Verdana"/>
          <w:color w:val="000000" w:themeColor="text1"/>
          <w:sz w:val="20"/>
          <w:szCs w:val="20"/>
        </w:rPr>
      </w:pPr>
      <w:r w:rsidRPr="0060123C">
        <w:rPr>
          <w:rFonts w:ascii="Verdana" w:hAnsi="Verdana"/>
          <w:i/>
          <w:color w:val="000000" w:themeColor="text1"/>
          <w:sz w:val="20"/>
          <w:szCs w:val="20"/>
        </w:rPr>
        <w:lastRenderedPageBreak/>
        <w:t>Consideraciones de la Corte</w:t>
      </w:r>
    </w:p>
    <w:p w14:paraId="2F171FF8" w14:textId="5D1415A8" w:rsidR="00C02B92" w:rsidRPr="0060123C" w:rsidRDefault="0006596B" w:rsidP="00081D74">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De la documentación aportada por el Estado </w:t>
      </w:r>
      <w:r w:rsidR="006778B9" w:rsidRPr="0060123C">
        <w:rPr>
          <w:rFonts w:ascii="Verdana" w:hAnsi="Verdana"/>
          <w:color w:val="000000" w:themeColor="text1"/>
          <w:sz w:val="20"/>
          <w:szCs w:val="20"/>
        </w:rPr>
        <w:t>en 2019 y 2020</w:t>
      </w:r>
      <w:r w:rsidR="00CF4796" w:rsidRPr="0060123C">
        <w:rPr>
          <w:rStyle w:val="Refdenotaalpie"/>
          <w:rFonts w:ascii="Verdana" w:hAnsi="Verdana"/>
          <w:sz w:val="20"/>
          <w:szCs w:val="20"/>
        </w:rPr>
        <w:footnoteReference w:id="9"/>
      </w:r>
      <w:r w:rsidR="00081D74" w:rsidRPr="0060123C">
        <w:rPr>
          <w:rFonts w:ascii="Verdana" w:hAnsi="Verdana"/>
          <w:color w:val="000000" w:themeColor="text1"/>
          <w:sz w:val="20"/>
          <w:szCs w:val="20"/>
        </w:rPr>
        <w:t xml:space="preserve">, </w:t>
      </w:r>
      <w:r w:rsidRPr="0060123C">
        <w:rPr>
          <w:rFonts w:ascii="Verdana" w:hAnsi="Verdana"/>
          <w:color w:val="000000" w:themeColor="text1"/>
          <w:sz w:val="20"/>
          <w:szCs w:val="20"/>
        </w:rPr>
        <w:t>la Corte constata que</w:t>
      </w:r>
      <w:r w:rsidR="00B1259A" w:rsidRPr="0060123C">
        <w:rPr>
          <w:rFonts w:ascii="Verdana" w:hAnsi="Verdana"/>
          <w:color w:val="000000" w:themeColor="text1"/>
          <w:sz w:val="20"/>
          <w:szCs w:val="20"/>
        </w:rPr>
        <w:t xml:space="preserve"> hace</w:t>
      </w:r>
      <w:r w:rsidR="001625B0" w:rsidRPr="0060123C">
        <w:rPr>
          <w:rFonts w:ascii="Verdana" w:hAnsi="Verdana"/>
          <w:color w:val="000000" w:themeColor="text1"/>
          <w:sz w:val="20"/>
          <w:szCs w:val="20"/>
        </w:rPr>
        <w:t xml:space="preserve"> más de dos años y medio </w:t>
      </w:r>
      <w:r w:rsidR="00CF4796" w:rsidRPr="0060123C">
        <w:rPr>
          <w:rFonts w:ascii="Verdana" w:hAnsi="Verdana"/>
          <w:color w:val="000000" w:themeColor="text1"/>
          <w:sz w:val="20"/>
          <w:szCs w:val="20"/>
        </w:rPr>
        <w:t>la Presidencia del Consejo de Defensa Jurídica del Estado</w:t>
      </w:r>
      <w:r w:rsidR="00C02B92" w:rsidRPr="0060123C">
        <w:rPr>
          <w:rFonts w:ascii="Verdana" w:hAnsi="Verdana"/>
          <w:sz w:val="20"/>
          <w:szCs w:val="20"/>
        </w:rPr>
        <w:t xml:space="preserve"> </w:t>
      </w:r>
      <w:r w:rsidR="001625B0" w:rsidRPr="0060123C">
        <w:rPr>
          <w:rFonts w:ascii="Verdana" w:hAnsi="Verdana"/>
          <w:sz w:val="20"/>
          <w:szCs w:val="20"/>
        </w:rPr>
        <w:t>emitió las decisiones que determinan</w:t>
      </w:r>
      <w:r w:rsidR="007810DE" w:rsidRPr="0060123C">
        <w:rPr>
          <w:rFonts w:ascii="Verdana" w:hAnsi="Verdana"/>
          <w:sz w:val="20"/>
          <w:szCs w:val="20"/>
        </w:rPr>
        <w:t xml:space="preserve"> </w:t>
      </w:r>
      <w:r w:rsidR="004457FB" w:rsidRPr="0060123C">
        <w:rPr>
          <w:rFonts w:ascii="Verdana" w:hAnsi="Verdana"/>
          <w:sz w:val="20"/>
          <w:szCs w:val="20"/>
        </w:rPr>
        <w:t>a las</w:t>
      </w:r>
      <w:r w:rsidR="00C02B92" w:rsidRPr="0060123C">
        <w:rPr>
          <w:rFonts w:ascii="Verdana" w:hAnsi="Verdana"/>
          <w:sz w:val="20"/>
          <w:szCs w:val="20"/>
        </w:rPr>
        <w:t xml:space="preserve"> entidades </w:t>
      </w:r>
      <w:r w:rsidR="00922C6A" w:rsidRPr="0060123C">
        <w:rPr>
          <w:rFonts w:ascii="Verdana" w:hAnsi="Verdana"/>
          <w:sz w:val="20"/>
          <w:szCs w:val="20"/>
        </w:rPr>
        <w:t xml:space="preserve">estatales </w:t>
      </w:r>
      <w:r w:rsidR="00CB2B79" w:rsidRPr="0060123C">
        <w:rPr>
          <w:rFonts w:ascii="Verdana" w:hAnsi="Verdana"/>
          <w:sz w:val="20"/>
          <w:szCs w:val="20"/>
        </w:rPr>
        <w:t xml:space="preserve">responsables </w:t>
      </w:r>
      <w:r w:rsidR="00C02B92" w:rsidRPr="0060123C">
        <w:rPr>
          <w:rFonts w:ascii="Verdana" w:hAnsi="Verdana"/>
          <w:sz w:val="20"/>
          <w:szCs w:val="20"/>
        </w:rPr>
        <w:t xml:space="preserve">de </w:t>
      </w:r>
      <w:r w:rsidR="00C02B92" w:rsidRPr="0060123C">
        <w:rPr>
          <w:rFonts w:ascii="Verdana" w:hAnsi="Verdana"/>
          <w:color w:val="000000" w:themeColor="text1"/>
          <w:sz w:val="20"/>
          <w:szCs w:val="20"/>
        </w:rPr>
        <w:t xml:space="preserve">dar cumplimiento a las </w:t>
      </w:r>
      <w:r w:rsidR="003C3F48" w:rsidRPr="0060123C">
        <w:rPr>
          <w:rFonts w:ascii="Verdana" w:hAnsi="Verdana"/>
          <w:color w:val="000000" w:themeColor="text1"/>
          <w:sz w:val="20"/>
          <w:szCs w:val="20"/>
        </w:rPr>
        <w:t xml:space="preserve">“reparaciones económicas o pecuniarias” </w:t>
      </w:r>
      <w:r w:rsidR="00C02B92" w:rsidRPr="0060123C">
        <w:rPr>
          <w:rFonts w:ascii="Verdana" w:hAnsi="Verdana"/>
          <w:color w:val="000000" w:themeColor="text1"/>
          <w:sz w:val="20"/>
          <w:szCs w:val="20"/>
        </w:rPr>
        <w:t>dispuestas en las Sentencias</w:t>
      </w:r>
      <w:r w:rsidR="00162C0B" w:rsidRPr="0060123C">
        <w:rPr>
          <w:rStyle w:val="Refdenotaalpie"/>
          <w:rFonts w:ascii="Verdana" w:hAnsi="Verdana"/>
          <w:color w:val="000000" w:themeColor="text1"/>
          <w:sz w:val="20"/>
          <w:szCs w:val="20"/>
        </w:rPr>
        <w:footnoteReference w:id="10"/>
      </w:r>
      <w:r w:rsidR="007202A5" w:rsidRPr="0060123C">
        <w:rPr>
          <w:rFonts w:ascii="Verdana" w:hAnsi="Verdana"/>
          <w:color w:val="000000" w:themeColor="text1"/>
          <w:sz w:val="20"/>
          <w:szCs w:val="20"/>
        </w:rPr>
        <w:t xml:space="preserve"> </w:t>
      </w:r>
      <w:r w:rsidR="00C02B92" w:rsidRPr="0060123C">
        <w:rPr>
          <w:rFonts w:ascii="Verdana" w:hAnsi="Verdana"/>
          <w:color w:val="000000" w:themeColor="text1"/>
          <w:sz w:val="20"/>
          <w:szCs w:val="20"/>
        </w:rPr>
        <w:t>en los términos siguientes:</w:t>
      </w:r>
    </w:p>
    <w:p w14:paraId="0365056D" w14:textId="065896BE" w:rsidR="00E57581" w:rsidRPr="0060123C" w:rsidRDefault="002248F0" w:rsidP="00FD746C">
      <w:pPr>
        <w:pStyle w:val="Prrafodelista"/>
        <w:numPr>
          <w:ilvl w:val="0"/>
          <w:numId w:val="12"/>
        </w:numPr>
        <w:ind w:left="426" w:hanging="283"/>
        <w:jc w:val="both"/>
        <w:rPr>
          <w:rFonts w:ascii="Verdana" w:hAnsi="Verdana"/>
          <w:sz w:val="16"/>
          <w:szCs w:val="16"/>
        </w:rPr>
      </w:pPr>
      <w:r w:rsidRPr="0060123C">
        <w:rPr>
          <w:rFonts w:ascii="Verdana" w:hAnsi="Verdana"/>
          <w:color w:val="000000" w:themeColor="text1"/>
          <w:sz w:val="16"/>
          <w:szCs w:val="16"/>
        </w:rPr>
        <w:t xml:space="preserve">En el </w:t>
      </w:r>
      <w:r w:rsidR="0005702B" w:rsidRPr="0060123C">
        <w:rPr>
          <w:rFonts w:ascii="Verdana" w:hAnsi="Verdana"/>
          <w:i/>
          <w:iCs/>
          <w:color w:val="000000" w:themeColor="text1"/>
          <w:sz w:val="16"/>
          <w:szCs w:val="16"/>
        </w:rPr>
        <w:t>Caso Tarazona Arrieta y otros</w:t>
      </w:r>
      <w:r w:rsidR="009E495B" w:rsidRPr="0060123C">
        <w:rPr>
          <w:rFonts w:ascii="Verdana" w:hAnsi="Verdana"/>
          <w:sz w:val="16"/>
          <w:szCs w:val="16"/>
        </w:rPr>
        <w:t xml:space="preserve"> </w:t>
      </w:r>
      <w:r w:rsidR="009E495B" w:rsidRPr="0060123C">
        <w:rPr>
          <w:rFonts w:ascii="Verdana" w:hAnsi="Verdana"/>
          <w:color w:val="000000" w:themeColor="text1"/>
          <w:sz w:val="16"/>
          <w:szCs w:val="16"/>
        </w:rPr>
        <w:t xml:space="preserve">corresponde </w:t>
      </w:r>
      <w:r w:rsidR="009E495B" w:rsidRPr="0060123C">
        <w:rPr>
          <w:rFonts w:ascii="Verdana" w:hAnsi="Verdana"/>
          <w:sz w:val="16"/>
          <w:szCs w:val="16"/>
        </w:rPr>
        <w:t>al</w:t>
      </w:r>
      <w:r w:rsidR="00E57581" w:rsidRPr="0060123C">
        <w:rPr>
          <w:rFonts w:ascii="Verdana" w:hAnsi="Verdana"/>
          <w:sz w:val="16"/>
          <w:szCs w:val="16"/>
        </w:rPr>
        <w:t xml:space="preserve"> Ministerio Público, Poder Judicial, Fuero Militar Policial y Ministerio de Defensa (Ejército del Perú)</w:t>
      </w:r>
      <w:r w:rsidR="009E495B" w:rsidRPr="0060123C">
        <w:rPr>
          <w:rFonts w:ascii="Verdana" w:hAnsi="Verdana"/>
          <w:sz w:val="16"/>
          <w:szCs w:val="16"/>
        </w:rPr>
        <w:t xml:space="preserve"> asumir el cumplimiento</w:t>
      </w:r>
      <w:r w:rsidR="00F22638">
        <w:rPr>
          <w:rFonts w:ascii="Verdana" w:hAnsi="Verdana"/>
          <w:sz w:val="16"/>
          <w:szCs w:val="16"/>
        </w:rPr>
        <w:t>.</w:t>
      </w:r>
    </w:p>
    <w:p w14:paraId="18B6669B" w14:textId="63BA6D38" w:rsidR="001E5610" w:rsidRPr="0060123C" w:rsidRDefault="002248F0" w:rsidP="00FD746C">
      <w:pPr>
        <w:pStyle w:val="Prrafodelista"/>
        <w:numPr>
          <w:ilvl w:val="0"/>
          <w:numId w:val="12"/>
        </w:numPr>
        <w:ind w:left="426" w:hanging="283"/>
        <w:jc w:val="both"/>
        <w:rPr>
          <w:rFonts w:ascii="Verdana" w:hAnsi="Verdana"/>
          <w:sz w:val="16"/>
          <w:szCs w:val="16"/>
        </w:rPr>
      </w:pPr>
      <w:r w:rsidRPr="0060123C">
        <w:rPr>
          <w:rFonts w:ascii="Verdana" w:hAnsi="Verdana"/>
          <w:color w:val="000000" w:themeColor="text1"/>
          <w:sz w:val="16"/>
          <w:szCs w:val="16"/>
        </w:rPr>
        <w:t xml:space="preserve">En el </w:t>
      </w:r>
      <w:r w:rsidR="001E5610" w:rsidRPr="0060123C">
        <w:rPr>
          <w:rFonts w:ascii="Verdana" w:hAnsi="Verdana"/>
          <w:i/>
          <w:iCs/>
          <w:color w:val="000000" w:themeColor="text1"/>
          <w:sz w:val="16"/>
          <w:szCs w:val="16"/>
        </w:rPr>
        <w:t>Caso Canales Huapaya y otro</w:t>
      </w:r>
      <w:r w:rsidR="00976C20" w:rsidRPr="0060123C">
        <w:rPr>
          <w:rFonts w:ascii="Verdana" w:hAnsi="Verdana"/>
          <w:i/>
          <w:iCs/>
          <w:color w:val="000000" w:themeColor="text1"/>
          <w:sz w:val="16"/>
          <w:szCs w:val="16"/>
        </w:rPr>
        <w:t>s</w:t>
      </w:r>
      <w:r w:rsidR="009E495B" w:rsidRPr="0060123C">
        <w:rPr>
          <w:rFonts w:ascii="Verdana" w:hAnsi="Verdana"/>
          <w:sz w:val="16"/>
          <w:szCs w:val="16"/>
        </w:rPr>
        <w:t xml:space="preserve"> </w:t>
      </w:r>
      <w:r w:rsidR="009E495B" w:rsidRPr="0060123C">
        <w:rPr>
          <w:rFonts w:ascii="Verdana" w:hAnsi="Verdana"/>
          <w:color w:val="000000" w:themeColor="text1"/>
          <w:sz w:val="16"/>
          <w:szCs w:val="16"/>
        </w:rPr>
        <w:t xml:space="preserve">corresponde </w:t>
      </w:r>
      <w:r w:rsidR="009E495B" w:rsidRPr="0060123C">
        <w:rPr>
          <w:rFonts w:ascii="Verdana" w:hAnsi="Verdana"/>
          <w:sz w:val="16"/>
          <w:szCs w:val="16"/>
        </w:rPr>
        <w:t>al</w:t>
      </w:r>
      <w:r w:rsidR="00A1157F" w:rsidRPr="0060123C">
        <w:rPr>
          <w:rFonts w:ascii="Verdana" w:hAnsi="Verdana"/>
          <w:sz w:val="16"/>
          <w:szCs w:val="16"/>
        </w:rPr>
        <w:t xml:space="preserve"> </w:t>
      </w:r>
      <w:bookmarkStart w:id="6" w:name="_Hlk96013631"/>
      <w:r w:rsidR="00A1157F" w:rsidRPr="0060123C">
        <w:rPr>
          <w:rFonts w:ascii="Verdana" w:hAnsi="Verdana"/>
          <w:sz w:val="16"/>
          <w:szCs w:val="16"/>
        </w:rPr>
        <w:t xml:space="preserve">Congreso de la República, el Tribunal Constitucional y el Poder Judicial </w:t>
      </w:r>
      <w:bookmarkEnd w:id="6"/>
      <w:r w:rsidR="009E495B" w:rsidRPr="0060123C">
        <w:rPr>
          <w:rFonts w:ascii="Verdana" w:hAnsi="Verdana"/>
          <w:sz w:val="16"/>
          <w:szCs w:val="16"/>
        </w:rPr>
        <w:t>asumir el cumplimiento</w:t>
      </w:r>
      <w:r w:rsidR="00F22638">
        <w:rPr>
          <w:rFonts w:ascii="Verdana" w:hAnsi="Verdana"/>
          <w:sz w:val="16"/>
          <w:szCs w:val="16"/>
        </w:rPr>
        <w:t>.</w:t>
      </w:r>
    </w:p>
    <w:p w14:paraId="464BC74B" w14:textId="5F3650F2" w:rsidR="000373D8" w:rsidRPr="0060123C" w:rsidRDefault="002248F0" w:rsidP="00FD746C">
      <w:pPr>
        <w:pStyle w:val="Prrafodelista"/>
        <w:numPr>
          <w:ilvl w:val="0"/>
          <w:numId w:val="12"/>
        </w:numPr>
        <w:ind w:left="426" w:hanging="283"/>
        <w:jc w:val="both"/>
        <w:rPr>
          <w:rFonts w:ascii="Verdana" w:hAnsi="Verdana"/>
          <w:sz w:val="16"/>
          <w:szCs w:val="16"/>
        </w:rPr>
      </w:pPr>
      <w:r w:rsidRPr="0060123C">
        <w:rPr>
          <w:rFonts w:ascii="Verdana" w:hAnsi="Verdana"/>
          <w:color w:val="000000" w:themeColor="text1"/>
          <w:sz w:val="16"/>
          <w:szCs w:val="16"/>
        </w:rPr>
        <w:t xml:space="preserve">En el </w:t>
      </w:r>
      <w:r w:rsidR="00050BAF" w:rsidRPr="0060123C">
        <w:rPr>
          <w:rFonts w:ascii="Verdana" w:hAnsi="Verdana"/>
          <w:i/>
          <w:iCs/>
          <w:color w:val="000000" w:themeColor="text1"/>
          <w:sz w:val="16"/>
          <w:szCs w:val="16"/>
        </w:rPr>
        <w:t xml:space="preserve">Caso Wong Ho </w:t>
      </w:r>
      <w:proofErr w:type="spellStart"/>
      <w:r w:rsidR="00050BAF" w:rsidRPr="0060123C">
        <w:rPr>
          <w:rFonts w:ascii="Verdana" w:hAnsi="Verdana"/>
          <w:i/>
          <w:iCs/>
          <w:color w:val="000000" w:themeColor="text1"/>
          <w:sz w:val="16"/>
          <w:szCs w:val="16"/>
        </w:rPr>
        <w:t>Wing</w:t>
      </w:r>
      <w:proofErr w:type="spellEnd"/>
      <w:r w:rsidR="005A03CA" w:rsidRPr="0060123C">
        <w:rPr>
          <w:rFonts w:ascii="Verdana" w:hAnsi="Verdana"/>
          <w:i/>
          <w:iCs/>
          <w:color w:val="000000" w:themeColor="text1"/>
          <w:sz w:val="16"/>
          <w:szCs w:val="16"/>
        </w:rPr>
        <w:t xml:space="preserve"> </w:t>
      </w:r>
      <w:r w:rsidR="005A03CA" w:rsidRPr="0060123C">
        <w:rPr>
          <w:rFonts w:ascii="Verdana" w:hAnsi="Verdana"/>
          <w:color w:val="000000" w:themeColor="text1"/>
          <w:sz w:val="16"/>
          <w:szCs w:val="16"/>
        </w:rPr>
        <w:t xml:space="preserve">corresponde </w:t>
      </w:r>
      <w:r w:rsidR="005A03CA" w:rsidRPr="0060123C">
        <w:rPr>
          <w:rFonts w:ascii="Verdana" w:hAnsi="Verdana"/>
          <w:sz w:val="16"/>
          <w:szCs w:val="16"/>
        </w:rPr>
        <w:t>a</w:t>
      </w:r>
      <w:r w:rsidR="00912CA6" w:rsidRPr="0060123C">
        <w:rPr>
          <w:rFonts w:ascii="Verdana" w:hAnsi="Verdana"/>
          <w:sz w:val="16"/>
          <w:szCs w:val="16"/>
        </w:rPr>
        <w:t>l</w:t>
      </w:r>
      <w:r w:rsidR="00C82190" w:rsidRPr="0060123C">
        <w:rPr>
          <w:rFonts w:ascii="Verdana" w:hAnsi="Verdana"/>
          <w:sz w:val="16"/>
          <w:szCs w:val="16"/>
        </w:rPr>
        <w:t xml:space="preserve"> Poder Judicial</w:t>
      </w:r>
      <w:r w:rsidR="009E495B" w:rsidRPr="0060123C">
        <w:rPr>
          <w:rFonts w:ascii="Verdana" w:hAnsi="Verdana"/>
          <w:sz w:val="16"/>
          <w:szCs w:val="16"/>
        </w:rPr>
        <w:t>,</w:t>
      </w:r>
      <w:r w:rsidR="00C82190" w:rsidRPr="0060123C">
        <w:rPr>
          <w:rFonts w:ascii="Verdana" w:hAnsi="Verdana"/>
          <w:sz w:val="16"/>
          <w:szCs w:val="16"/>
        </w:rPr>
        <w:t xml:space="preserve"> y</w:t>
      </w:r>
      <w:r w:rsidR="009E495B" w:rsidRPr="0060123C">
        <w:rPr>
          <w:rFonts w:ascii="Verdana" w:hAnsi="Verdana"/>
          <w:sz w:val="16"/>
          <w:szCs w:val="16"/>
        </w:rPr>
        <w:t xml:space="preserve"> </w:t>
      </w:r>
      <w:r w:rsidR="00C82190" w:rsidRPr="0060123C">
        <w:rPr>
          <w:rFonts w:ascii="Verdana" w:hAnsi="Verdana"/>
          <w:sz w:val="16"/>
          <w:szCs w:val="16"/>
        </w:rPr>
        <w:t>Ministerio de Justicia y Derechos Humanos</w:t>
      </w:r>
      <w:r w:rsidR="005A03CA" w:rsidRPr="0060123C">
        <w:rPr>
          <w:rFonts w:ascii="Verdana" w:hAnsi="Verdana"/>
          <w:sz w:val="16"/>
          <w:szCs w:val="16"/>
        </w:rPr>
        <w:t xml:space="preserve"> asumir el cumplimiento</w:t>
      </w:r>
      <w:r w:rsidR="00F22638">
        <w:rPr>
          <w:rFonts w:ascii="Verdana" w:hAnsi="Verdana"/>
          <w:sz w:val="16"/>
          <w:szCs w:val="16"/>
        </w:rPr>
        <w:t>.</w:t>
      </w:r>
    </w:p>
    <w:p w14:paraId="729A4B30" w14:textId="189C713B" w:rsidR="00420DE9" w:rsidRPr="0060123C" w:rsidRDefault="002248F0" w:rsidP="00FD746C">
      <w:pPr>
        <w:pStyle w:val="Prrafodelista"/>
        <w:numPr>
          <w:ilvl w:val="0"/>
          <w:numId w:val="12"/>
        </w:numPr>
        <w:ind w:left="426" w:hanging="283"/>
        <w:jc w:val="both"/>
        <w:rPr>
          <w:rFonts w:ascii="Verdana" w:hAnsi="Verdana"/>
          <w:sz w:val="16"/>
          <w:szCs w:val="16"/>
        </w:rPr>
      </w:pPr>
      <w:r w:rsidRPr="0060123C">
        <w:rPr>
          <w:rFonts w:ascii="Verdana" w:hAnsi="Verdana"/>
          <w:color w:val="000000" w:themeColor="text1"/>
          <w:sz w:val="16"/>
          <w:szCs w:val="16"/>
        </w:rPr>
        <w:t xml:space="preserve">En </w:t>
      </w:r>
      <w:r w:rsidR="001625B0" w:rsidRPr="0060123C">
        <w:rPr>
          <w:rFonts w:ascii="Verdana" w:hAnsi="Verdana"/>
          <w:color w:val="000000" w:themeColor="text1"/>
          <w:sz w:val="16"/>
          <w:szCs w:val="16"/>
        </w:rPr>
        <w:t>los</w:t>
      </w:r>
      <w:r w:rsidRPr="0060123C">
        <w:rPr>
          <w:rFonts w:ascii="Verdana" w:hAnsi="Verdana"/>
          <w:color w:val="000000" w:themeColor="text1"/>
          <w:sz w:val="16"/>
          <w:szCs w:val="16"/>
        </w:rPr>
        <w:t xml:space="preserve"> </w:t>
      </w:r>
      <w:r w:rsidR="000373D8" w:rsidRPr="0060123C">
        <w:rPr>
          <w:rFonts w:ascii="Verdana" w:hAnsi="Verdana"/>
          <w:i/>
          <w:iCs/>
          <w:color w:val="000000" w:themeColor="text1"/>
          <w:sz w:val="16"/>
          <w:szCs w:val="16"/>
        </w:rPr>
        <w:t>Caso</w:t>
      </w:r>
      <w:r w:rsidR="001625B0" w:rsidRPr="0060123C">
        <w:rPr>
          <w:rFonts w:ascii="Verdana" w:hAnsi="Verdana"/>
          <w:i/>
          <w:iCs/>
          <w:color w:val="000000" w:themeColor="text1"/>
          <w:sz w:val="16"/>
          <w:szCs w:val="16"/>
        </w:rPr>
        <w:t>s</w:t>
      </w:r>
      <w:r w:rsidR="000373D8" w:rsidRPr="0060123C">
        <w:rPr>
          <w:rFonts w:ascii="Verdana" w:hAnsi="Verdana"/>
          <w:i/>
          <w:iCs/>
          <w:color w:val="000000" w:themeColor="text1"/>
          <w:sz w:val="16"/>
          <w:szCs w:val="16"/>
        </w:rPr>
        <w:t xml:space="preserve"> Zegarra Marín</w:t>
      </w:r>
      <w:r w:rsidR="001625B0" w:rsidRPr="0060123C">
        <w:rPr>
          <w:rFonts w:ascii="Verdana" w:hAnsi="Verdana"/>
          <w:i/>
          <w:iCs/>
          <w:color w:val="000000" w:themeColor="text1"/>
          <w:sz w:val="16"/>
          <w:szCs w:val="16"/>
        </w:rPr>
        <w:t xml:space="preserve"> y Lagos del Campo </w:t>
      </w:r>
      <w:r w:rsidR="001625B0" w:rsidRPr="0060123C">
        <w:rPr>
          <w:rFonts w:ascii="Verdana" w:hAnsi="Verdana"/>
          <w:color w:val="000000" w:themeColor="text1"/>
          <w:sz w:val="16"/>
          <w:szCs w:val="16"/>
        </w:rPr>
        <w:t>corresponde al</w:t>
      </w:r>
      <w:r w:rsidR="00B22EE6" w:rsidRPr="0060123C">
        <w:rPr>
          <w:rFonts w:ascii="Verdana" w:hAnsi="Verdana"/>
          <w:sz w:val="16"/>
          <w:szCs w:val="16"/>
        </w:rPr>
        <w:t xml:space="preserve"> Poder Judicial </w:t>
      </w:r>
      <w:r w:rsidR="001625B0" w:rsidRPr="0060123C">
        <w:rPr>
          <w:rFonts w:ascii="Verdana" w:hAnsi="Verdana"/>
          <w:sz w:val="16"/>
          <w:szCs w:val="16"/>
        </w:rPr>
        <w:t>asumir el cumplimiento</w:t>
      </w:r>
      <w:r w:rsidR="00286734" w:rsidRPr="0060123C">
        <w:rPr>
          <w:rFonts w:ascii="Verdana" w:hAnsi="Verdana"/>
          <w:sz w:val="16"/>
          <w:szCs w:val="16"/>
        </w:rPr>
        <w:t>.</w:t>
      </w:r>
    </w:p>
    <w:p w14:paraId="26FF0DD7" w14:textId="7F125CAA" w:rsidR="00337D20" w:rsidRPr="0060123C" w:rsidRDefault="00C251ED" w:rsidP="00DF3842">
      <w:pPr>
        <w:pStyle w:val="Prrafodelista"/>
        <w:numPr>
          <w:ilvl w:val="0"/>
          <w:numId w:val="5"/>
        </w:numPr>
        <w:spacing w:before="120" w:after="120"/>
        <w:ind w:left="0" w:firstLine="0"/>
        <w:jc w:val="both"/>
        <w:rPr>
          <w:rFonts w:ascii="Verdana" w:hAnsi="Verdana"/>
          <w:sz w:val="20"/>
          <w:szCs w:val="20"/>
        </w:rPr>
      </w:pPr>
      <w:r w:rsidRPr="0060123C">
        <w:rPr>
          <w:rFonts w:ascii="Verdana" w:hAnsi="Verdana"/>
          <w:sz w:val="20"/>
          <w:szCs w:val="20"/>
        </w:rPr>
        <w:t xml:space="preserve">En cada una de tales </w:t>
      </w:r>
      <w:r w:rsidR="00621C65" w:rsidRPr="0060123C">
        <w:rPr>
          <w:rFonts w:ascii="Verdana" w:hAnsi="Verdana"/>
          <w:sz w:val="20"/>
          <w:szCs w:val="20"/>
        </w:rPr>
        <w:t>decisiones</w:t>
      </w:r>
      <w:r w:rsidR="002736D0" w:rsidRPr="0060123C">
        <w:rPr>
          <w:rFonts w:ascii="Verdana" w:hAnsi="Verdana"/>
          <w:sz w:val="20"/>
          <w:szCs w:val="20"/>
        </w:rPr>
        <w:t>,</w:t>
      </w:r>
      <w:r w:rsidRPr="0060123C">
        <w:rPr>
          <w:rFonts w:ascii="Verdana" w:hAnsi="Verdana"/>
          <w:sz w:val="20"/>
          <w:szCs w:val="20"/>
        </w:rPr>
        <w:t xml:space="preserve"> se </w:t>
      </w:r>
      <w:r w:rsidR="00420DE9" w:rsidRPr="0060123C">
        <w:rPr>
          <w:rFonts w:ascii="Verdana" w:hAnsi="Verdana"/>
          <w:sz w:val="20"/>
          <w:szCs w:val="20"/>
        </w:rPr>
        <w:t>indicó</w:t>
      </w:r>
      <w:r w:rsidR="006B253C" w:rsidRPr="0060123C">
        <w:rPr>
          <w:rFonts w:ascii="Verdana" w:hAnsi="Verdana"/>
          <w:sz w:val="20"/>
          <w:szCs w:val="20"/>
        </w:rPr>
        <w:t>, entre otros,</w:t>
      </w:r>
      <w:r w:rsidR="00420DE9" w:rsidRPr="0060123C">
        <w:rPr>
          <w:rFonts w:ascii="Verdana" w:hAnsi="Verdana"/>
          <w:sz w:val="20"/>
          <w:szCs w:val="20"/>
        </w:rPr>
        <w:t xml:space="preserve"> que </w:t>
      </w:r>
      <w:r w:rsidR="0046733A" w:rsidRPr="0060123C">
        <w:rPr>
          <w:rFonts w:ascii="Verdana" w:hAnsi="Verdana"/>
          <w:sz w:val="20"/>
          <w:szCs w:val="20"/>
        </w:rPr>
        <w:t>son l</w:t>
      </w:r>
      <w:r w:rsidR="00420DE9" w:rsidRPr="0060123C">
        <w:rPr>
          <w:rFonts w:ascii="Verdana" w:hAnsi="Verdana"/>
          <w:sz w:val="20"/>
          <w:szCs w:val="20"/>
        </w:rPr>
        <w:t>as entidades</w:t>
      </w:r>
      <w:r w:rsidR="00922C6A" w:rsidRPr="0060123C">
        <w:rPr>
          <w:rFonts w:ascii="Verdana" w:hAnsi="Verdana"/>
          <w:sz w:val="20"/>
          <w:szCs w:val="20"/>
        </w:rPr>
        <w:t xml:space="preserve"> estatales</w:t>
      </w:r>
      <w:r w:rsidR="0046733A" w:rsidRPr="0060123C">
        <w:rPr>
          <w:rFonts w:ascii="Verdana" w:hAnsi="Verdana"/>
          <w:sz w:val="20"/>
          <w:szCs w:val="20"/>
        </w:rPr>
        <w:t xml:space="preserve"> </w:t>
      </w:r>
      <w:r w:rsidR="00420DE9" w:rsidRPr="0060123C">
        <w:rPr>
          <w:rFonts w:ascii="Verdana" w:hAnsi="Verdana"/>
          <w:sz w:val="20"/>
          <w:szCs w:val="20"/>
        </w:rPr>
        <w:t xml:space="preserve">responsables del pago de las obligaciones señaladas </w:t>
      </w:r>
      <w:r w:rsidR="0046733A" w:rsidRPr="0060123C">
        <w:rPr>
          <w:rFonts w:ascii="Verdana" w:hAnsi="Verdana"/>
          <w:sz w:val="20"/>
          <w:szCs w:val="20"/>
        </w:rPr>
        <w:t>“</w:t>
      </w:r>
      <w:r w:rsidR="00420DE9" w:rsidRPr="0060123C">
        <w:rPr>
          <w:rFonts w:ascii="Verdana" w:hAnsi="Verdana"/>
          <w:sz w:val="20"/>
          <w:szCs w:val="20"/>
        </w:rPr>
        <w:t xml:space="preserve">las encargadas de determinar los montos por concepto de intereses y asumir su pago”, </w:t>
      </w:r>
      <w:r w:rsidR="0046733A" w:rsidRPr="0060123C">
        <w:rPr>
          <w:rFonts w:ascii="Verdana" w:hAnsi="Verdana"/>
          <w:sz w:val="20"/>
          <w:szCs w:val="20"/>
        </w:rPr>
        <w:t xml:space="preserve">y </w:t>
      </w:r>
      <w:r w:rsidR="00420DE9" w:rsidRPr="0060123C">
        <w:rPr>
          <w:rFonts w:ascii="Verdana" w:hAnsi="Verdana"/>
          <w:sz w:val="20"/>
          <w:szCs w:val="20"/>
        </w:rPr>
        <w:t xml:space="preserve">se dispuso “[r]emitir copia” de </w:t>
      </w:r>
      <w:r w:rsidR="009E1C12" w:rsidRPr="0060123C">
        <w:rPr>
          <w:rFonts w:ascii="Verdana" w:hAnsi="Verdana"/>
          <w:sz w:val="20"/>
          <w:szCs w:val="20"/>
        </w:rPr>
        <w:t>dichas</w:t>
      </w:r>
      <w:r w:rsidR="00420DE9" w:rsidRPr="0060123C">
        <w:rPr>
          <w:rFonts w:ascii="Verdana" w:hAnsi="Verdana"/>
          <w:sz w:val="20"/>
          <w:szCs w:val="20"/>
        </w:rPr>
        <w:t xml:space="preserve"> </w:t>
      </w:r>
      <w:r w:rsidR="00F22638">
        <w:rPr>
          <w:rFonts w:ascii="Verdana" w:hAnsi="Verdana"/>
          <w:sz w:val="20"/>
          <w:szCs w:val="20"/>
        </w:rPr>
        <w:t>r</w:t>
      </w:r>
      <w:r w:rsidR="00420DE9" w:rsidRPr="0060123C">
        <w:rPr>
          <w:rFonts w:ascii="Verdana" w:hAnsi="Verdana"/>
          <w:sz w:val="20"/>
          <w:szCs w:val="20"/>
        </w:rPr>
        <w:t>esoluci</w:t>
      </w:r>
      <w:r w:rsidR="009E1C12" w:rsidRPr="0060123C">
        <w:rPr>
          <w:rFonts w:ascii="Verdana" w:hAnsi="Verdana"/>
          <w:sz w:val="20"/>
          <w:szCs w:val="20"/>
        </w:rPr>
        <w:t>o</w:t>
      </w:r>
      <w:r w:rsidR="00420DE9" w:rsidRPr="0060123C">
        <w:rPr>
          <w:rFonts w:ascii="Verdana" w:hAnsi="Verdana"/>
          <w:sz w:val="20"/>
          <w:szCs w:val="20"/>
        </w:rPr>
        <w:t>n</w:t>
      </w:r>
      <w:r w:rsidR="009E1C12" w:rsidRPr="0060123C">
        <w:rPr>
          <w:rFonts w:ascii="Verdana" w:hAnsi="Verdana"/>
          <w:sz w:val="20"/>
          <w:szCs w:val="20"/>
        </w:rPr>
        <w:t>es</w:t>
      </w:r>
      <w:r w:rsidR="00420DE9" w:rsidRPr="0060123C">
        <w:rPr>
          <w:rFonts w:ascii="Verdana" w:hAnsi="Verdana"/>
          <w:sz w:val="20"/>
          <w:szCs w:val="20"/>
        </w:rPr>
        <w:t xml:space="preserve"> a los titulares y Procuradores Públicos de </w:t>
      </w:r>
      <w:r w:rsidR="00420DE9" w:rsidRPr="0060123C">
        <w:rPr>
          <w:rFonts w:ascii="Verdana" w:hAnsi="Verdana"/>
          <w:color w:val="000000" w:themeColor="text1"/>
          <w:sz w:val="20"/>
          <w:szCs w:val="20"/>
        </w:rPr>
        <w:t>las</w:t>
      </w:r>
      <w:r w:rsidR="00922C6A" w:rsidRPr="0060123C">
        <w:rPr>
          <w:rFonts w:ascii="Verdana" w:hAnsi="Verdana"/>
          <w:color w:val="000000" w:themeColor="text1"/>
          <w:sz w:val="20"/>
          <w:szCs w:val="20"/>
        </w:rPr>
        <w:t xml:space="preserve"> referidas </w:t>
      </w:r>
      <w:r w:rsidR="00420DE9" w:rsidRPr="0060123C">
        <w:rPr>
          <w:rFonts w:ascii="Verdana" w:hAnsi="Verdana"/>
          <w:color w:val="000000" w:themeColor="text1"/>
          <w:sz w:val="20"/>
          <w:szCs w:val="20"/>
        </w:rPr>
        <w:t>entidades</w:t>
      </w:r>
      <w:r w:rsidR="00420DE9" w:rsidRPr="0060123C">
        <w:rPr>
          <w:rFonts w:ascii="Verdana" w:hAnsi="Verdana"/>
          <w:sz w:val="20"/>
          <w:szCs w:val="20"/>
        </w:rPr>
        <w:t>, “a fin de dar cumplimiento a lo estipulado”</w:t>
      </w:r>
      <w:r w:rsidR="002736D0" w:rsidRPr="0060123C">
        <w:rPr>
          <w:rStyle w:val="Refdenotaalpie"/>
          <w:rFonts w:ascii="Verdana" w:hAnsi="Verdana"/>
          <w:sz w:val="20"/>
          <w:szCs w:val="20"/>
        </w:rPr>
        <w:footnoteReference w:id="11"/>
      </w:r>
      <w:r w:rsidR="0046733A" w:rsidRPr="0060123C">
        <w:rPr>
          <w:rFonts w:ascii="Verdana" w:hAnsi="Verdana"/>
          <w:sz w:val="20"/>
          <w:szCs w:val="20"/>
        </w:rPr>
        <w:t>.</w:t>
      </w:r>
      <w:r w:rsidR="006B253C" w:rsidRPr="0060123C">
        <w:rPr>
          <w:rFonts w:ascii="Verdana" w:hAnsi="Verdana"/>
          <w:sz w:val="20"/>
          <w:szCs w:val="20"/>
        </w:rPr>
        <w:t xml:space="preserve"> </w:t>
      </w:r>
      <w:r w:rsidR="00754110" w:rsidRPr="0060123C">
        <w:rPr>
          <w:rFonts w:ascii="Verdana" w:hAnsi="Verdana"/>
          <w:sz w:val="20"/>
          <w:szCs w:val="20"/>
        </w:rPr>
        <w:t xml:space="preserve">Derivado de ello, </w:t>
      </w:r>
      <w:r w:rsidR="0021032F" w:rsidRPr="0060123C">
        <w:rPr>
          <w:rFonts w:ascii="Verdana" w:hAnsi="Verdana"/>
          <w:color w:val="000000" w:themeColor="text1"/>
          <w:sz w:val="20"/>
          <w:szCs w:val="20"/>
        </w:rPr>
        <w:t xml:space="preserve">el 18, 21 y </w:t>
      </w:r>
      <w:r w:rsidR="007928F8" w:rsidRPr="0060123C">
        <w:rPr>
          <w:rFonts w:ascii="Verdana" w:hAnsi="Verdana"/>
          <w:color w:val="000000" w:themeColor="text1"/>
          <w:sz w:val="20"/>
          <w:szCs w:val="20"/>
        </w:rPr>
        <w:t>22 de octubre de 2019</w:t>
      </w:r>
      <w:r w:rsidR="00600377" w:rsidRPr="0060123C">
        <w:rPr>
          <w:rFonts w:ascii="Verdana" w:hAnsi="Verdana"/>
          <w:color w:val="000000" w:themeColor="text1"/>
          <w:sz w:val="20"/>
          <w:szCs w:val="20"/>
        </w:rPr>
        <w:t>,</w:t>
      </w:r>
      <w:r w:rsidR="00391F74" w:rsidRPr="0060123C">
        <w:rPr>
          <w:rFonts w:ascii="Verdana" w:hAnsi="Verdana"/>
          <w:color w:val="000000" w:themeColor="text1"/>
          <w:sz w:val="20"/>
          <w:szCs w:val="20"/>
        </w:rPr>
        <w:t xml:space="preserve"> </w:t>
      </w:r>
      <w:r w:rsidR="006B253C" w:rsidRPr="0060123C">
        <w:rPr>
          <w:rFonts w:ascii="Verdana" w:hAnsi="Verdana"/>
          <w:color w:val="000000" w:themeColor="text1"/>
          <w:sz w:val="20"/>
          <w:szCs w:val="20"/>
        </w:rPr>
        <w:t xml:space="preserve">y </w:t>
      </w:r>
      <w:r w:rsidR="00391F74" w:rsidRPr="0060123C">
        <w:rPr>
          <w:rFonts w:ascii="Verdana" w:hAnsi="Verdana"/>
          <w:color w:val="000000" w:themeColor="text1"/>
          <w:sz w:val="20"/>
          <w:szCs w:val="20"/>
        </w:rPr>
        <w:t>16</w:t>
      </w:r>
      <w:r w:rsidR="00600377" w:rsidRPr="0060123C">
        <w:rPr>
          <w:rFonts w:ascii="Verdana" w:hAnsi="Verdana"/>
          <w:color w:val="000000" w:themeColor="text1"/>
          <w:sz w:val="20"/>
          <w:szCs w:val="20"/>
        </w:rPr>
        <w:t xml:space="preserve"> y 22</w:t>
      </w:r>
      <w:r w:rsidR="00391F74" w:rsidRPr="0060123C">
        <w:rPr>
          <w:rFonts w:ascii="Verdana" w:hAnsi="Verdana"/>
          <w:color w:val="000000" w:themeColor="text1"/>
          <w:sz w:val="20"/>
          <w:szCs w:val="20"/>
        </w:rPr>
        <w:t xml:space="preserve"> de enero de 2020</w:t>
      </w:r>
      <w:r w:rsidR="0021032F" w:rsidRPr="0060123C">
        <w:rPr>
          <w:rFonts w:ascii="Verdana" w:hAnsi="Verdana"/>
          <w:color w:val="000000" w:themeColor="text1"/>
          <w:sz w:val="20"/>
          <w:szCs w:val="20"/>
        </w:rPr>
        <w:t xml:space="preserve"> </w:t>
      </w:r>
      <w:r w:rsidR="00A20453" w:rsidRPr="0060123C">
        <w:rPr>
          <w:rFonts w:ascii="Verdana" w:hAnsi="Verdana"/>
          <w:color w:val="000000" w:themeColor="text1"/>
          <w:sz w:val="20"/>
          <w:szCs w:val="20"/>
        </w:rPr>
        <w:t>el Procurador Público Especializado Supranacional remitió oficios con las</w:t>
      </w:r>
      <w:r w:rsidR="00A20453" w:rsidRPr="0060123C">
        <w:rPr>
          <w:rFonts w:ascii="Verdana" w:hAnsi="Verdana"/>
          <w:b/>
          <w:bCs/>
          <w:color w:val="000000" w:themeColor="text1"/>
          <w:sz w:val="20"/>
          <w:szCs w:val="20"/>
        </w:rPr>
        <w:t xml:space="preserve"> </w:t>
      </w:r>
      <w:r w:rsidR="00C9347D" w:rsidRPr="0060123C">
        <w:rPr>
          <w:rFonts w:ascii="Verdana" w:hAnsi="Verdana"/>
          <w:color w:val="000000" w:themeColor="text1"/>
          <w:sz w:val="20"/>
          <w:szCs w:val="20"/>
        </w:rPr>
        <w:t>referidas</w:t>
      </w:r>
      <w:r w:rsidR="00650792" w:rsidRPr="0060123C">
        <w:rPr>
          <w:rFonts w:ascii="Verdana" w:hAnsi="Verdana"/>
          <w:color w:val="000000" w:themeColor="text1"/>
          <w:sz w:val="20"/>
          <w:szCs w:val="20"/>
        </w:rPr>
        <w:t xml:space="preserve"> </w:t>
      </w:r>
      <w:r w:rsidR="00F22638">
        <w:rPr>
          <w:rFonts w:ascii="Verdana" w:hAnsi="Verdana"/>
          <w:color w:val="000000" w:themeColor="text1"/>
          <w:sz w:val="20"/>
          <w:szCs w:val="20"/>
        </w:rPr>
        <w:t>r</w:t>
      </w:r>
      <w:r w:rsidR="00650792" w:rsidRPr="0060123C">
        <w:rPr>
          <w:rFonts w:ascii="Verdana" w:hAnsi="Verdana"/>
          <w:color w:val="000000" w:themeColor="text1"/>
          <w:sz w:val="20"/>
          <w:szCs w:val="20"/>
        </w:rPr>
        <w:t>esoluciones</w:t>
      </w:r>
      <w:r w:rsidR="00C9347D" w:rsidRPr="0060123C">
        <w:rPr>
          <w:rFonts w:ascii="Verdana" w:hAnsi="Verdana"/>
          <w:color w:val="000000" w:themeColor="text1"/>
          <w:sz w:val="20"/>
          <w:szCs w:val="20"/>
        </w:rPr>
        <w:t xml:space="preserve"> a </w:t>
      </w:r>
      <w:r w:rsidR="00650792" w:rsidRPr="0060123C">
        <w:rPr>
          <w:rFonts w:ascii="Verdana" w:hAnsi="Verdana"/>
          <w:color w:val="000000" w:themeColor="text1"/>
          <w:sz w:val="20"/>
          <w:szCs w:val="20"/>
        </w:rPr>
        <w:t>los Procuradores Públicos</w:t>
      </w:r>
      <w:r w:rsidR="00393FD9" w:rsidRPr="0060123C">
        <w:rPr>
          <w:rFonts w:ascii="Verdana" w:hAnsi="Verdana"/>
          <w:color w:val="000000" w:themeColor="text1"/>
          <w:sz w:val="20"/>
          <w:szCs w:val="20"/>
        </w:rPr>
        <w:t xml:space="preserve"> </w:t>
      </w:r>
      <w:r w:rsidRPr="0060123C">
        <w:rPr>
          <w:rFonts w:ascii="Verdana" w:hAnsi="Verdana"/>
          <w:color w:val="000000" w:themeColor="text1"/>
          <w:sz w:val="20"/>
          <w:szCs w:val="20"/>
        </w:rPr>
        <w:t>del Fuero Militar Policial, Poder Judicial, Ministerio Público</w:t>
      </w:r>
      <w:r w:rsidR="001A7F9F" w:rsidRPr="0060123C">
        <w:rPr>
          <w:rFonts w:ascii="Verdana" w:hAnsi="Verdana"/>
          <w:color w:val="000000" w:themeColor="text1"/>
          <w:sz w:val="20"/>
          <w:szCs w:val="20"/>
        </w:rPr>
        <w:t>,</w:t>
      </w:r>
      <w:r w:rsidRPr="0060123C">
        <w:rPr>
          <w:rFonts w:ascii="Verdana" w:hAnsi="Verdana"/>
          <w:color w:val="000000" w:themeColor="text1"/>
          <w:sz w:val="20"/>
          <w:szCs w:val="20"/>
        </w:rPr>
        <w:t xml:space="preserve"> Ministerio de Defensa</w:t>
      </w:r>
      <w:r w:rsidR="001A7F9F" w:rsidRPr="0060123C">
        <w:rPr>
          <w:rFonts w:ascii="Verdana" w:hAnsi="Verdana"/>
          <w:color w:val="000000" w:themeColor="text1"/>
          <w:sz w:val="20"/>
          <w:szCs w:val="20"/>
        </w:rPr>
        <w:t>, Ministerio de Justicia y Derechos Humanos</w:t>
      </w:r>
      <w:r w:rsidR="00AF3132" w:rsidRPr="0060123C">
        <w:rPr>
          <w:rFonts w:ascii="Verdana" w:hAnsi="Verdana"/>
          <w:color w:val="000000" w:themeColor="text1"/>
          <w:sz w:val="20"/>
          <w:szCs w:val="20"/>
        </w:rPr>
        <w:t>,</w:t>
      </w:r>
      <w:r w:rsidR="00AF3132" w:rsidRPr="0060123C">
        <w:rPr>
          <w:rFonts w:ascii="Verdana" w:hAnsi="Verdana"/>
          <w:b/>
          <w:bCs/>
          <w:color w:val="000000" w:themeColor="text1"/>
          <w:sz w:val="20"/>
          <w:szCs w:val="20"/>
        </w:rPr>
        <w:t xml:space="preserve"> </w:t>
      </w:r>
      <w:r w:rsidR="00AF3132" w:rsidRPr="0060123C">
        <w:rPr>
          <w:rFonts w:ascii="Verdana" w:hAnsi="Verdana"/>
          <w:color w:val="000000" w:themeColor="text1"/>
          <w:sz w:val="20"/>
          <w:szCs w:val="20"/>
        </w:rPr>
        <w:t>Congreso de la República y Tribunal Constitucional</w:t>
      </w:r>
      <w:r w:rsidRPr="0060123C">
        <w:rPr>
          <w:rFonts w:ascii="Verdana" w:hAnsi="Verdana"/>
          <w:color w:val="000000" w:themeColor="text1"/>
          <w:sz w:val="20"/>
          <w:szCs w:val="20"/>
        </w:rPr>
        <w:t xml:space="preserve"> </w:t>
      </w:r>
      <w:r w:rsidR="001A7F9F" w:rsidRPr="0060123C">
        <w:rPr>
          <w:rFonts w:ascii="Verdana" w:hAnsi="Verdana"/>
          <w:sz w:val="20"/>
          <w:szCs w:val="20"/>
        </w:rPr>
        <w:t>para</w:t>
      </w:r>
      <w:r w:rsidR="00BE0397" w:rsidRPr="0060123C">
        <w:rPr>
          <w:rFonts w:ascii="Verdana" w:hAnsi="Verdana"/>
          <w:sz w:val="20"/>
          <w:szCs w:val="20"/>
        </w:rPr>
        <w:t xml:space="preserve"> que </w:t>
      </w:r>
      <w:r w:rsidR="00BE0397" w:rsidRPr="0060123C">
        <w:rPr>
          <w:rFonts w:ascii="Verdana" w:hAnsi="Verdana"/>
          <w:color w:val="000000" w:themeColor="text1"/>
          <w:sz w:val="20"/>
          <w:szCs w:val="20"/>
        </w:rPr>
        <w:t>efectuaran “las acciones que correspondan, a fin de consolidar la información sobre el cumplimiento de la</w:t>
      </w:r>
      <w:r w:rsidR="00922C6A" w:rsidRPr="0060123C">
        <w:rPr>
          <w:rFonts w:ascii="Verdana" w:hAnsi="Verdana"/>
          <w:color w:val="000000" w:themeColor="text1"/>
          <w:sz w:val="20"/>
          <w:szCs w:val="20"/>
        </w:rPr>
        <w:t>[</w:t>
      </w:r>
      <w:r w:rsidR="00883171" w:rsidRPr="0060123C">
        <w:rPr>
          <w:rFonts w:ascii="Verdana" w:hAnsi="Verdana"/>
          <w:color w:val="000000" w:themeColor="text1"/>
          <w:sz w:val="20"/>
          <w:szCs w:val="20"/>
        </w:rPr>
        <w:t>s</w:t>
      </w:r>
      <w:r w:rsidR="00922C6A" w:rsidRPr="0060123C">
        <w:rPr>
          <w:rFonts w:ascii="Verdana" w:hAnsi="Verdana"/>
          <w:color w:val="000000" w:themeColor="text1"/>
          <w:sz w:val="20"/>
          <w:szCs w:val="20"/>
        </w:rPr>
        <w:t>]</w:t>
      </w:r>
      <w:r w:rsidR="00BE0397" w:rsidRPr="0060123C">
        <w:rPr>
          <w:rFonts w:ascii="Verdana" w:hAnsi="Verdana"/>
          <w:color w:val="000000" w:themeColor="text1"/>
          <w:sz w:val="20"/>
          <w:szCs w:val="20"/>
        </w:rPr>
        <w:t xml:space="preserve"> </w:t>
      </w:r>
      <w:r w:rsidR="00F22638">
        <w:rPr>
          <w:rFonts w:ascii="Verdana" w:hAnsi="Verdana"/>
          <w:color w:val="000000" w:themeColor="text1"/>
          <w:sz w:val="20"/>
          <w:szCs w:val="20"/>
        </w:rPr>
        <w:t>s</w:t>
      </w:r>
      <w:r w:rsidR="00BE0397" w:rsidRPr="0060123C">
        <w:rPr>
          <w:rFonts w:ascii="Verdana" w:hAnsi="Verdana"/>
          <w:color w:val="000000" w:themeColor="text1"/>
          <w:sz w:val="20"/>
          <w:szCs w:val="20"/>
        </w:rPr>
        <w:t>entencia</w:t>
      </w:r>
      <w:r w:rsidR="00922C6A" w:rsidRPr="0060123C">
        <w:rPr>
          <w:rFonts w:ascii="Verdana" w:hAnsi="Verdana"/>
          <w:color w:val="000000" w:themeColor="text1"/>
          <w:sz w:val="20"/>
          <w:szCs w:val="20"/>
        </w:rPr>
        <w:t>[s]</w:t>
      </w:r>
      <w:r w:rsidR="006B253C" w:rsidRPr="0060123C">
        <w:rPr>
          <w:rFonts w:ascii="Verdana" w:hAnsi="Verdana"/>
          <w:color w:val="000000" w:themeColor="text1"/>
          <w:sz w:val="20"/>
          <w:szCs w:val="20"/>
        </w:rPr>
        <w:t>”</w:t>
      </w:r>
      <w:r w:rsidR="00BE0397" w:rsidRPr="0060123C">
        <w:rPr>
          <w:rFonts w:ascii="Verdana" w:hAnsi="Verdana"/>
          <w:color w:val="000000" w:themeColor="text1"/>
          <w:sz w:val="20"/>
          <w:szCs w:val="20"/>
        </w:rPr>
        <w:t>, lo</w:t>
      </w:r>
      <w:r w:rsidR="00BE0397" w:rsidRPr="0060123C">
        <w:rPr>
          <w:rFonts w:ascii="Verdana" w:hAnsi="Verdana"/>
          <w:b/>
          <w:bCs/>
          <w:color w:val="000000" w:themeColor="text1"/>
          <w:sz w:val="20"/>
          <w:szCs w:val="20"/>
        </w:rPr>
        <w:t xml:space="preserve"> </w:t>
      </w:r>
      <w:r w:rsidR="00BE0397" w:rsidRPr="0060123C">
        <w:rPr>
          <w:rFonts w:ascii="Verdana" w:hAnsi="Verdana"/>
          <w:color w:val="000000" w:themeColor="text1"/>
          <w:sz w:val="20"/>
          <w:szCs w:val="20"/>
        </w:rPr>
        <w:t xml:space="preserve">cual debía ser puesto en conocimiento de </w:t>
      </w:r>
      <w:r w:rsidR="00754110" w:rsidRPr="0060123C">
        <w:rPr>
          <w:rFonts w:ascii="Verdana" w:hAnsi="Verdana"/>
          <w:color w:val="000000" w:themeColor="text1"/>
          <w:sz w:val="20"/>
          <w:szCs w:val="20"/>
        </w:rPr>
        <w:t>dicha</w:t>
      </w:r>
      <w:r w:rsidR="00BE0397" w:rsidRPr="0060123C">
        <w:rPr>
          <w:rFonts w:ascii="Verdana" w:hAnsi="Verdana"/>
          <w:color w:val="000000" w:themeColor="text1"/>
          <w:sz w:val="20"/>
          <w:szCs w:val="20"/>
        </w:rPr>
        <w:t xml:space="preserve"> Procuraduría Pública Especializada</w:t>
      </w:r>
      <w:r w:rsidR="006037FD" w:rsidRPr="0060123C">
        <w:rPr>
          <w:rStyle w:val="Refdenotaalpie"/>
          <w:rFonts w:ascii="Verdana" w:hAnsi="Verdana"/>
          <w:color w:val="000000" w:themeColor="text1"/>
          <w:sz w:val="20"/>
          <w:szCs w:val="20"/>
        </w:rPr>
        <w:footnoteReference w:id="12"/>
      </w:r>
      <w:r w:rsidR="00BE0397" w:rsidRPr="0060123C">
        <w:rPr>
          <w:rFonts w:ascii="Verdana" w:hAnsi="Verdana"/>
          <w:color w:val="000000" w:themeColor="text1"/>
          <w:sz w:val="20"/>
          <w:szCs w:val="20"/>
        </w:rPr>
        <w:t>.</w:t>
      </w:r>
    </w:p>
    <w:p w14:paraId="05452DD2" w14:textId="7578CA2E" w:rsidR="00C05B4A" w:rsidRPr="0060123C" w:rsidRDefault="00081D74" w:rsidP="00AB52D6">
      <w:pPr>
        <w:pStyle w:val="Prrafodelista"/>
        <w:numPr>
          <w:ilvl w:val="0"/>
          <w:numId w:val="5"/>
        </w:numPr>
        <w:spacing w:before="120" w:after="120"/>
        <w:ind w:left="0" w:firstLine="0"/>
        <w:jc w:val="both"/>
        <w:rPr>
          <w:rFonts w:ascii="Verdana" w:hAnsi="Verdana"/>
          <w:sz w:val="20"/>
          <w:szCs w:val="20"/>
        </w:rPr>
      </w:pPr>
      <w:r w:rsidRPr="0060123C">
        <w:rPr>
          <w:rFonts w:ascii="Verdana" w:hAnsi="Verdana"/>
          <w:color w:val="000000" w:themeColor="text1"/>
          <w:sz w:val="20"/>
          <w:szCs w:val="20"/>
        </w:rPr>
        <w:t>Al respecto, e</w:t>
      </w:r>
      <w:r w:rsidR="00680C24" w:rsidRPr="0060123C">
        <w:rPr>
          <w:rFonts w:ascii="Verdana" w:hAnsi="Verdana"/>
          <w:color w:val="000000" w:themeColor="text1"/>
          <w:sz w:val="20"/>
          <w:szCs w:val="20"/>
        </w:rPr>
        <w:t>ntre junio de 2020 y mayo de 2021</w:t>
      </w:r>
      <w:r w:rsidR="00680C24" w:rsidRPr="0060123C">
        <w:rPr>
          <w:rStyle w:val="Refdenotaalpie"/>
          <w:rFonts w:ascii="Verdana" w:hAnsi="Verdana"/>
          <w:color w:val="000000" w:themeColor="text1"/>
          <w:sz w:val="20"/>
          <w:szCs w:val="20"/>
        </w:rPr>
        <w:footnoteReference w:id="13"/>
      </w:r>
      <w:r w:rsidR="00D46109" w:rsidRPr="0060123C">
        <w:rPr>
          <w:rFonts w:ascii="Verdana" w:hAnsi="Verdana"/>
          <w:color w:val="000000" w:themeColor="text1"/>
          <w:sz w:val="20"/>
          <w:szCs w:val="20"/>
        </w:rPr>
        <w:t xml:space="preserve">, el </w:t>
      </w:r>
      <w:r w:rsidR="00D46109" w:rsidRPr="00F22638">
        <w:rPr>
          <w:rFonts w:ascii="Verdana" w:hAnsi="Verdana"/>
          <w:i/>
          <w:iCs/>
          <w:color w:val="000000" w:themeColor="text1"/>
          <w:sz w:val="20"/>
          <w:szCs w:val="20"/>
        </w:rPr>
        <w:t>Estado</w:t>
      </w:r>
      <w:r w:rsidR="0039218D" w:rsidRPr="0060123C">
        <w:rPr>
          <w:rFonts w:ascii="Verdana" w:hAnsi="Verdana"/>
          <w:color w:val="000000" w:themeColor="text1"/>
          <w:sz w:val="20"/>
          <w:szCs w:val="20"/>
        </w:rPr>
        <w:t xml:space="preserve"> explicó que </w:t>
      </w:r>
      <w:r w:rsidR="009C1896" w:rsidRPr="0060123C">
        <w:rPr>
          <w:rFonts w:ascii="Verdana" w:hAnsi="Verdana"/>
          <w:color w:val="000000" w:themeColor="text1"/>
          <w:sz w:val="20"/>
          <w:szCs w:val="20"/>
        </w:rPr>
        <w:t>el</w:t>
      </w:r>
      <w:r w:rsidR="00B231C9" w:rsidRPr="0060123C">
        <w:rPr>
          <w:rFonts w:ascii="Verdana" w:hAnsi="Verdana"/>
          <w:color w:val="000000" w:themeColor="text1"/>
          <w:sz w:val="20"/>
          <w:szCs w:val="20"/>
        </w:rPr>
        <w:t xml:space="preserve"> </w:t>
      </w:r>
      <w:r w:rsidR="009C1896" w:rsidRPr="0060123C">
        <w:rPr>
          <w:rFonts w:ascii="Verdana" w:hAnsi="Verdana"/>
          <w:color w:val="000000" w:themeColor="text1"/>
          <w:sz w:val="20"/>
          <w:szCs w:val="20"/>
        </w:rPr>
        <w:t>Aplicativo Informático “Demandas Judiciales y Arbitrales en Contra del Estado”</w:t>
      </w:r>
      <w:r w:rsidR="008E75F2" w:rsidRPr="0060123C">
        <w:rPr>
          <w:rFonts w:ascii="Verdana" w:hAnsi="Verdana"/>
          <w:color w:val="000000" w:themeColor="text1"/>
          <w:sz w:val="20"/>
          <w:szCs w:val="20"/>
        </w:rPr>
        <w:t xml:space="preserve"> </w:t>
      </w:r>
      <w:r w:rsidR="009C1896" w:rsidRPr="0060123C">
        <w:rPr>
          <w:rFonts w:ascii="Verdana" w:hAnsi="Verdana"/>
          <w:color w:val="000000" w:themeColor="text1"/>
          <w:sz w:val="20"/>
          <w:szCs w:val="20"/>
        </w:rPr>
        <w:t xml:space="preserve">del </w:t>
      </w:r>
      <w:r w:rsidR="009C1896" w:rsidRPr="0060123C">
        <w:rPr>
          <w:rFonts w:ascii="Verdana" w:hAnsi="Verdana"/>
          <w:color w:val="000000" w:themeColor="text1"/>
          <w:sz w:val="20"/>
          <w:szCs w:val="20"/>
        </w:rPr>
        <w:lastRenderedPageBreak/>
        <w:t>Ministerio de Economía y Finanzas</w:t>
      </w:r>
      <w:r w:rsidR="008E75F2" w:rsidRPr="0060123C">
        <w:rPr>
          <w:rFonts w:ascii="Verdana" w:hAnsi="Verdana"/>
          <w:color w:val="000000" w:themeColor="text1"/>
          <w:sz w:val="20"/>
          <w:szCs w:val="20"/>
        </w:rPr>
        <w:t>, en el cual debe registrar la individualización de las entidades obligadas al pago,</w:t>
      </w:r>
      <w:r w:rsidR="00B231C9" w:rsidRPr="0060123C">
        <w:rPr>
          <w:rFonts w:ascii="Verdana" w:hAnsi="Verdana"/>
          <w:color w:val="000000" w:themeColor="text1"/>
          <w:sz w:val="20"/>
          <w:szCs w:val="20"/>
        </w:rPr>
        <w:t xml:space="preserve"> </w:t>
      </w:r>
      <w:r w:rsidR="005F5834" w:rsidRPr="0060123C">
        <w:rPr>
          <w:rFonts w:ascii="Verdana" w:hAnsi="Verdana"/>
          <w:color w:val="000000" w:themeColor="text1"/>
          <w:sz w:val="20"/>
          <w:szCs w:val="20"/>
        </w:rPr>
        <w:t>d</w:t>
      </w:r>
      <w:r w:rsidR="00B231C9" w:rsidRPr="0060123C">
        <w:rPr>
          <w:rFonts w:ascii="Verdana" w:hAnsi="Verdana"/>
          <w:color w:val="000000" w:themeColor="text1"/>
          <w:sz w:val="20"/>
          <w:szCs w:val="20"/>
        </w:rPr>
        <w:t>eb</w:t>
      </w:r>
      <w:r w:rsidR="00B30269" w:rsidRPr="0060123C">
        <w:rPr>
          <w:rFonts w:ascii="Verdana" w:hAnsi="Verdana"/>
          <w:color w:val="000000" w:themeColor="text1"/>
          <w:sz w:val="20"/>
          <w:szCs w:val="20"/>
        </w:rPr>
        <w:t>ía</w:t>
      </w:r>
      <w:r w:rsidR="00B231C9" w:rsidRPr="0060123C">
        <w:rPr>
          <w:rFonts w:ascii="Verdana" w:hAnsi="Verdana"/>
          <w:color w:val="000000" w:themeColor="text1"/>
          <w:sz w:val="20"/>
          <w:szCs w:val="20"/>
        </w:rPr>
        <w:t xml:space="preserve"> ser ajustado</w:t>
      </w:r>
      <w:r w:rsidR="005E1C2B" w:rsidRPr="0060123C">
        <w:rPr>
          <w:rFonts w:ascii="Verdana" w:hAnsi="Verdana"/>
          <w:color w:val="000000" w:themeColor="text1"/>
          <w:sz w:val="20"/>
          <w:szCs w:val="20"/>
        </w:rPr>
        <w:t xml:space="preserve"> ya que</w:t>
      </w:r>
      <w:r w:rsidR="00940CF8" w:rsidRPr="0060123C">
        <w:rPr>
          <w:rFonts w:ascii="Verdana" w:hAnsi="Verdana"/>
          <w:color w:val="000000" w:themeColor="text1"/>
          <w:sz w:val="20"/>
          <w:szCs w:val="20"/>
        </w:rPr>
        <w:t xml:space="preserve"> se requería </w:t>
      </w:r>
      <w:r w:rsidR="00B27338" w:rsidRPr="0060123C">
        <w:rPr>
          <w:rFonts w:ascii="Verdana" w:hAnsi="Verdana"/>
          <w:color w:val="000000" w:themeColor="text1"/>
          <w:sz w:val="20"/>
          <w:szCs w:val="20"/>
        </w:rPr>
        <w:t xml:space="preserve">incluir </w:t>
      </w:r>
      <w:r w:rsidR="00940CF8" w:rsidRPr="0060123C">
        <w:rPr>
          <w:rFonts w:ascii="Verdana" w:hAnsi="Verdana"/>
          <w:color w:val="000000" w:themeColor="text1"/>
          <w:sz w:val="20"/>
          <w:szCs w:val="20"/>
        </w:rPr>
        <w:t>“el registro de Sentencias Supranacionales”</w:t>
      </w:r>
      <w:r w:rsidR="00C404DB" w:rsidRPr="0060123C">
        <w:rPr>
          <w:rFonts w:ascii="Verdana" w:hAnsi="Verdana"/>
          <w:color w:val="000000" w:themeColor="text1"/>
          <w:sz w:val="20"/>
          <w:szCs w:val="20"/>
        </w:rPr>
        <w:t xml:space="preserve"> porque había sido diseñado para sentencias dictadas en el fuero interno</w:t>
      </w:r>
      <w:r w:rsidR="00315FA1" w:rsidRPr="0060123C">
        <w:rPr>
          <w:rFonts w:ascii="Verdana" w:hAnsi="Verdana"/>
          <w:color w:val="000000" w:themeColor="text1"/>
          <w:sz w:val="20"/>
          <w:szCs w:val="20"/>
        </w:rPr>
        <w:t>.</w:t>
      </w:r>
      <w:r w:rsidR="0098653D" w:rsidRPr="0060123C">
        <w:rPr>
          <w:rFonts w:ascii="Verdana" w:hAnsi="Verdana"/>
          <w:color w:val="000000" w:themeColor="text1"/>
          <w:sz w:val="20"/>
          <w:szCs w:val="20"/>
        </w:rPr>
        <w:t xml:space="preserve"> </w:t>
      </w:r>
      <w:r w:rsidR="00C661FD" w:rsidRPr="0060123C">
        <w:rPr>
          <w:rFonts w:ascii="Verdana" w:hAnsi="Verdana"/>
          <w:color w:val="000000" w:themeColor="text1"/>
          <w:sz w:val="20"/>
          <w:szCs w:val="20"/>
        </w:rPr>
        <w:t xml:space="preserve">Posteriormente </w:t>
      </w:r>
      <w:r w:rsidR="00F267D8" w:rsidRPr="0060123C">
        <w:rPr>
          <w:rFonts w:ascii="Verdana" w:hAnsi="Verdana"/>
          <w:color w:val="000000" w:themeColor="text1"/>
          <w:sz w:val="20"/>
          <w:szCs w:val="20"/>
        </w:rPr>
        <w:t>informó que</w:t>
      </w:r>
      <w:r w:rsidR="00C661FD" w:rsidRPr="0060123C">
        <w:rPr>
          <w:rFonts w:ascii="Verdana" w:hAnsi="Verdana"/>
          <w:color w:val="000000" w:themeColor="text1"/>
          <w:sz w:val="20"/>
          <w:szCs w:val="20"/>
        </w:rPr>
        <w:t>,</w:t>
      </w:r>
      <w:r w:rsidR="00F267D8" w:rsidRPr="0060123C">
        <w:rPr>
          <w:rFonts w:ascii="Verdana" w:hAnsi="Verdana"/>
          <w:color w:val="000000" w:themeColor="text1"/>
          <w:sz w:val="20"/>
          <w:szCs w:val="20"/>
        </w:rPr>
        <w:t xml:space="preserve"> </w:t>
      </w:r>
      <w:r w:rsidR="00C661FD" w:rsidRPr="0060123C">
        <w:rPr>
          <w:rFonts w:ascii="Verdana" w:hAnsi="Verdana"/>
          <w:color w:val="000000" w:themeColor="text1"/>
          <w:sz w:val="20"/>
          <w:szCs w:val="20"/>
        </w:rPr>
        <w:t xml:space="preserve">entre marzo de 2021 y febrero de 2022, </w:t>
      </w:r>
      <w:r w:rsidR="00186921" w:rsidRPr="0060123C">
        <w:rPr>
          <w:rFonts w:ascii="Verdana" w:hAnsi="Verdana"/>
          <w:color w:val="000000" w:themeColor="text1"/>
          <w:sz w:val="20"/>
          <w:szCs w:val="20"/>
        </w:rPr>
        <w:t xml:space="preserve">la </w:t>
      </w:r>
      <w:r w:rsidR="00BF6593" w:rsidRPr="0060123C">
        <w:rPr>
          <w:rFonts w:ascii="Verdana" w:hAnsi="Verdana"/>
          <w:color w:val="000000" w:themeColor="text1"/>
          <w:sz w:val="20"/>
          <w:szCs w:val="20"/>
        </w:rPr>
        <w:t xml:space="preserve">Procuraduría Pública Especializada Supranacional </w:t>
      </w:r>
      <w:r w:rsidR="00186921" w:rsidRPr="0060123C">
        <w:rPr>
          <w:rFonts w:ascii="Verdana" w:hAnsi="Verdana"/>
          <w:color w:val="000000" w:themeColor="text1"/>
          <w:sz w:val="20"/>
          <w:szCs w:val="20"/>
        </w:rPr>
        <w:t xml:space="preserve">procedió a ingresar </w:t>
      </w:r>
      <w:r w:rsidR="00FB43FC" w:rsidRPr="0060123C">
        <w:rPr>
          <w:rFonts w:ascii="Verdana" w:hAnsi="Verdana"/>
          <w:color w:val="000000" w:themeColor="text1"/>
          <w:sz w:val="20"/>
          <w:szCs w:val="20"/>
        </w:rPr>
        <w:t xml:space="preserve">en </w:t>
      </w:r>
      <w:r w:rsidR="0039218D" w:rsidRPr="0060123C">
        <w:rPr>
          <w:rFonts w:ascii="Verdana" w:hAnsi="Verdana"/>
          <w:color w:val="000000" w:themeColor="text1"/>
          <w:sz w:val="20"/>
          <w:szCs w:val="20"/>
        </w:rPr>
        <w:t>dicho</w:t>
      </w:r>
      <w:r w:rsidR="00FB43FC" w:rsidRPr="0060123C">
        <w:rPr>
          <w:rFonts w:ascii="Verdana" w:hAnsi="Verdana"/>
          <w:color w:val="000000" w:themeColor="text1"/>
          <w:sz w:val="20"/>
          <w:szCs w:val="20"/>
        </w:rPr>
        <w:t xml:space="preserve"> Aplicativo </w:t>
      </w:r>
      <w:r w:rsidR="00186921" w:rsidRPr="0060123C">
        <w:rPr>
          <w:rFonts w:ascii="Verdana" w:hAnsi="Verdana"/>
          <w:color w:val="000000" w:themeColor="text1"/>
          <w:sz w:val="20"/>
          <w:szCs w:val="20"/>
        </w:rPr>
        <w:t xml:space="preserve">la totalidad de la información pertinente </w:t>
      </w:r>
      <w:r w:rsidR="00FB43FC" w:rsidRPr="0060123C">
        <w:rPr>
          <w:rFonts w:ascii="Verdana" w:hAnsi="Verdana"/>
          <w:color w:val="000000" w:themeColor="text1"/>
          <w:sz w:val="20"/>
          <w:szCs w:val="20"/>
        </w:rPr>
        <w:t>de</w:t>
      </w:r>
      <w:r w:rsidR="00F267D8" w:rsidRPr="0060123C">
        <w:rPr>
          <w:rFonts w:ascii="Verdana" w:hAnsi="Verdana"/>
          <w:color w:val="000000" w:themeColor="text1"/>
          <w:sz w:val="20"/>
          <w:szCs w:val="20"/>
        </w:rPr>
        <w:t xml:space="preserve"> los casos</w:t>
      </w:r>
      <w:r w:rsidR="00F267D8" w:rsidRPr="0060123C">
        <w:rPr>
          <w:rFonts w:ascii="Verdana" w:hAnsi="Verdana"/>
          <w:i/>
          <w:iCs/>
          <w:color w:val="000000" w:themeColor="text1"/>
          <w:sz w:val="20"/>
          <w:szCs w:val="20"/>
        </w:rPr>
        <w:t xml:space="preserve"> Tarazona Arrieta y otros</w:t>
      </w:r>
      <w:r w:rsidR="00F267D8" w:rsidRPr="0060123C">
        <w:rPr>
          <w:rFonts w:ascii="Verdana" w:hAnsi="Verdana"/>
          <w:color w:val="000000" w:themeColor="text1"/>
          <w:sz w:val="20"/>
          <w:szCs w:val="20"/>
        </w:rPr>
        <w:t xml:space="preserve">, </w:t>
      </w:r>
      <w:r w:rsidR="00F267D8" w:rsidRPr="0060123C">
        <w:rPr>
          <w:rFonts w:ascii="Verdana" w:hAnsi="Verdana"/>
          <w:i/>
          <w:iCs/>
          <w:color w:val="000000" w:themeColor="text1"/>
          <w:sz w:val="20"/>
          <w:szCs w:val="20"/>
        </w:rPr>
        <w:t>Zegarra Marín</w:t>
      </w:r>
      <w:r w:rsidR="0051174C" w:rsidRPr="0060123C">
        <w:rPr>
          <w:rFonts w:ascii="Verdana" w:hAnsi="Verdana"/>
          <w:color w:val="000000" w:themeColor="text1"/>
          <w:sz w:val="20"/>
          <w:szCs w:val="20"/>
        </w:rPr>
        <w:t>,</w:t>
      </w:r>
      <w:r w:rsidR="00DB68F6" w:rsidRPr="0060123C">
        <w:rPr>
          <w:rFonts w:ascii="Verdana" w:hAnsi="Verdana"/>
          <w:color w:val="000000" w:themeColor="text1"/>
          <w:sz w:val="20"/>
          <w:szCs w:val="20"/>
        </w:rPr>
        <w:t xml:space="preserve"> </w:t>
      </w:r>
      <w:r w:rsidR="00DB68F6" w:rsidRPr="0060123C">
        <w:rPr>
          <w:rFonts w:ascii="Verdana" w:hAnsi="Verdana"/>
          <w:i/>
          <w:iCs/>
          <w:color w:val="000000" w:themeColor="text1"/>
          <w:sz w:val="20"/>
          <w:szCs w:val="20"/>
        </w:rPr>
        <w:t>Lagos del Campo</w:t>
      </w:r>
      <w:r w:rsidR="0051174C" w:rsidRPr="0060123C">
        <w:rPr>
          <w:rFonts w:ascii="Verdana" w:hAnsi="Verdana"/>
          <w:color w:val="000000" w:themeColor="text1"/>
          <w:sz w:val="20"/>
          <w:szCs w:val="20"/>
        </w:rPr>
        <w:t xml:space="preserve"> y </w:t>
      </w:r>
      <w:r w:rsidR="0051174C" w:rsidRPr="0060123C">
        <w:rPr>
          <w:rFonts w:ascii="Verdana" w:hAnsi="Verdana"/>
          <w:sz w:val="20"/>
          <w:szCs w:val="20"/>
        </w:rPr>
        <w:t xml:space="preserve">Wong Ho </w:t>
      </w:r>
      <w:proofErr w:type="spellStart"/>
      <w:r w:rsidR="0051174C" w:rsidRPr="0060123C">
        <w:rPr>
          <w:rFonts w:ascii="Verdana" w:hAnsi="Verdana"/>
          <w:sz w:val="20"/>
          <w:szCs w:val="20"/>
        </w:rPr>
        <w:t>Wing</w:t>
      </w:r>
      <w:proofErr w:type="spellEnd"/>
      <w:r w:rsidR="00F267D8" w:rsidRPr="0060123C">
        <w:rPr>
          <w:rStyle w:val="Refdenotaalpie"/>
          <w:rFonts w:ascii="Verdana" w:hAnsi="Verdana"/>
          <w:color w:val="000000" w:themeColor="text1"/>
          <w:sz w:val="20"/>
          <w:szCs w:val="20"/>
        </w:rPr>
        <w:footnoteReference w:id="14"/>
      </w:r>
      <w:r w:rsidR="007315B1" w:rsidRPr="0060123C">
        <w:rPr>
          <w:rFonts w:ascii="Verdana" w:hAnsi="Verdana"/>
          <w:color w:val="000000" w:themeColor="text1"/>
          <w:sz w:val="20"/>
          <w:szCs w:val="20"/>
        </w:rPr>
        <w:t>, y</w:t>
      </w:r>
      <w:r w:rsidR="00315FA1" w:rsidRPr="0060123C">
        <w:rPr>
          <w:rFonts w:ascii="Verdana" w:hAnsi="Verdana"/>
          <w:color w:val="000000" w:themeColor="text1"/>
          <w:sz w:val="20"/>
          <w:szCs w:val="20"/>
        </w:rPr>
        <w:t xml:space="preserve"> </w:t>
      </w:r>
      <w:r w:rsidR="00C05B4A" w:rsidRPr="0060123C">
        <w:rPr>
          <w:rFonts w:ascii="Verdana" w:hAnsi="Verdana"/>
          <w:color w:val="000000" w:themeColor="text1"/>
          <w:sz w:val="20"/>
          <w:szCs w:val="20"/>
        </w:rPr>
        <w:t>a ingresar la “</w:t>
      </w:r>
      <w:r w:rsidR="00315FA1" w:rsidRPr="0060123C">
        <w:rPr>
          <w:rFonts w:ascii="Verdana" w:hAnsi="Verdana"/>
          <w:color w:val="000000" w:themeColor="text1"/>
          <w:sz w:val="20"/>
          <w:szCs w:val="20"/>
        </w:rPr>
        <w:t>información parcial</w:t>
      </w:r>
      <w:r w:rsidR="007315B1" w:rsidRPr="0060123C">
        <w:rPr>
          <w:rFonts w:ascii="Verdana" w:hAnsi="Verdana"/>
          <w:color w:val="000000" w:themeColor="text1"/>
          <w:sz w:val="20"/>
          <w:szCs w:val="20"/>
        </w:rPr>
        <w:t>”</w:t>
      </w:r>
      <w:r w:rsidR="00F267D8" w:rsidRPr="0060123C">
        <w:rPr>
          <w:rFonts w:ascii="Verdana" w:hAnsi="Verdana"/>
          <w:color w:val="000000" w:themeColor="text1"/>
          <w:sz w:val="20"/>
          <w:szCs w:val="20"/>
        </w:rPr>
        <w:t xml:space="preserve"> </w:t>
      </w:r>
      <w:r w:rsidR="00FB43FC" w:rsidRPr="0060123C">
        <w:rPr>
          <w:rFonts w:ascii="Verdana" w:hAnsi="Verdana"/>
          <w:color w:val="000000" w:themeColor="text1"/>
          <w:sz w:val="20"/>
          <w:szCs w:val="20"/>
        </w:rPr>
        <w:t>d</w:t>
      </w:r>
      <w:r w:rsidR="00F267D8" w:rsidRPr="0060123C">
        <w:rPr>
          <w:rFonts w:ascii="Verdana" w:hAnsi="Verdana"/>
          <w:color w:val="000000" w:themeColor="text1"/>
          <w:sz w:val="20"/>
          <w:szCs w:val="20"/>
        </w:rPr>
        <w:t xml:space="preserve">el </w:t>
      </w:r>
      <w:r w:rsidR="00F267D8" w:rsidRPr="0060123C">
        <w:rPr>
          <w:rFonts w:ascii="Verdana" w:hAnsi="Verdana"/>
          <w:i/>
          <w:iCs/>
          <w:color w:val="000000" w:themeColor="text1"/>
          <w:sz w:val="20"/>
          <w:szCs w:val="20"/>
        </w:rPr>
        <w:t>Caso Canales Huapaya y otros</w:t>
      </w:r>
      <w:r w:rsidR="00C661FD" w:rsidRPr="0060123C">
        <w:rPr>
          <w:rFonts w:ascii="Verdana" w:hAnsi="Verdana"/>
          <w:i/>
          <w:iCs/>
          <w:color w:val="000000" w:themeColor="text1"/>
          <w:sz w:val="20"/>
          <w:szCs w:val="20"/>
        </w:rPr>
        <w:t xml:space="preserve">, </w:t>
      </w:r>
      <w:r w:rsidR="00C661FD" w:rsidRPr="0060123C">
        <w:rPr>
          <w:rFonts w:ascii="Verdana" w:hAnsi="Verdana"/>
          <w:color w:val="000000" w:themeColor="text1"/>
          <w:sz w:val="20"/>
          <w:szCs w:val="20"/>
        </w:rPr>
        <w:t>ya que en este último</w:t>
      </w:r>
      <w:r w:rsidR="00315FA1" w:rsidRPr="0060123C">
        <w:rPr>
          <w:rFonts w:ascii="Verdana" w:hAnsi="Verdana"/>
          <w:color w:val="000000" w:themeColor="text1"/>
          <w:sz w:val="20"/>
          <w:szCs w:val="20"/>
        </w:rPr>
        <w:t xml:space="preserve"> </w:t>
      </w:r>
      <w:r w:rsidR="00C661FD" w:rsidRPr="0060123C">
        <w:rPr>
          <w:rFonts w:ascii="Verdana" w:hAnsi="Verdana"/>
          <w:color w:val="000000" w:themeColor="text1"/>
          <w:sz w:val="20"/>
          <w:szCs w:val="20"/>
        </w:rPr>
        <w:t xml:space="preserve">tuvo que realizar </w:t>
      </w:r>
      <w:r w:rsidR="00290528" w:rsidRPr="0060123C">
        <w:rPr>
          <w:rFonts w:ascii="Verdana" w:hAnsi="Verdana"/>
          <w:color w:val="000000" w:themeColor="text1"/>
          <w:sz w:val="20"/>
          <w:szCs w:val="20"/>
        </w:rPr>
        <w:t>“</w:t>
      </w:r>
      <w:r w:rsidR="00315FA1" w:rsidRPr="0060123C">
        <w:rPr>
          <w:rFonts w:ascii="Verdana" w:hAnsi="Verdana"/>
          <w:color w:val="000000" w:themeColor="text1"/>
          <w:sz w:val="20"/>
          <w:szCs w:val="20"/>
        </w:rPr>
        <w:t>una solicitud de información sobre los herederos legales del señor Carlos Alberto Canales Huapaya a fin de registrar</w:t>
      </w:r>
      <w:r w:rsidR="00A34BCA" w:rsidRPr="0060123C">
        <w:rPr>
          <w:rFonts w:ascii="Verdana" w:hAnsi="Verdana"/>
          <w:color w:val="000000" w:themeColor="text1"/>
          <w:sz w:val="20"/>
          <w:szCs w:val="20"/>
        </w:rPr>
        <w:t>[lo</w:t>
      </w:r>
      <w:r w:rsidR="00722E64">
        <w:rPr>
          <w:rFonts w:ascii="Verdana" w:hAnsi="Verdana"/>
          <w:color w:val="000000" w:themeColor="text1"/>
          <w:sz w:val="20"/>
          <w:szCs w:val="20"/>
        </w:rPr>
        <w:t>s</w:t>
      </w:r>
      <w:r w:rsidR="00A34BCA" w:rsidRPr="0060123C">
        <w:rPr>
          <w:rFonts w:ascii="Verdana" w:hAnsi="Verdana"/>
          <w:color w:val="000000" w:themeColor="text1"/>
          <w:sz w:val="20"/>
          <w:szCs w:val="20"/>
        </w:rPr>
        <w:t>]</w:t>
      </w:r>
      <w:r w:rsidR="00C05B4A" w:rsidRPr="0060123C">
        <w:rPr>
          <w:rFonts w:ascii="Verdana" w:hAnsi="Verdana"/>
          <w:color w:val="000000" w:themeColor="text1"/>
          <w:sz w:val="20"/>
          <w:szCs w:val="20"/>
        </w:rPr>
        <w:t>”</w:t>
      </w:r>
      <w:r w:rsidR="00A34BCA" w:rsidRPr="0060123C">
        <w:rPr>
          <w:rFonts w:ascii="Verdana" w:hAnsi="Verdana"/>
          <w:color w:val="000000" w:themeColor="text1"/>
          <w:sz w:val="20"/>
          <w:szCs w:val="20"/>
        </w:rPr>
        <w:t xml:space="preserve"> en tal Aplicativo</w:t>
      </w:r>
      <w:r w:rsidR="00315FA1" w:rsidRPr="0060123C">
        <w:rPr>
          <w:rStyle w:val="Refdenotaalpie"/>
          <w:rFonts w:ascii="Verdana" w:hAnsi="Verdana"/>
          <w:color w:val="000000" w:themeColor="text1"/>
          <w:sz w:val="20"/>
          <w:szCs w:val="20"/>
        </w:rPr>
        <w:footnoteReference w:id="15"/>
      </w:r>
      <w:r w:rsidR="00AB52D6" w:rsidRPr="0060123C">
        <w:rPr>
          <w:rFonts w:ascii="Verdana" w:hAnsi="Verdana"/>
          <w:color w:val="000000" w:themeColor="text1"/>
          <w:sz w:val="20"/>
          <w:szCs w:val="20"/>
        </w:rPr>
        <w:t>.</w:t>
      </w:r>
    </w:p>
    <w:p w14:paraId="1513C585" w14:textId="5C02FF5D" w:rsidR="00686D68" w:rsidRPr="0060123C" w:rsidRDefault="007315B1" w:rsidP="00FF292A">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Asimismo, </w:t>
      </w:r>
      <w:r w:rsidR="004A0D3A" w:rsidRPr="0060123C">
        <w:rPr>
          <w:rFonts w:ascii="Verdana" w:hAnsi="Verdana"/>
          <w:color w:val="000000" w:themeColor="text1"/>
          <w:sz w:val="20"/>
          <w:szCs w:val="20"/>
        </w:rPr>
        <w:t xml:space="preserve">el </w:t>
      </w:r>
      <w:r w:rsidR="004A0D3A" w:rsidRPr="00F22638">
        <w:rPr>
          <w:rFonts w:ascii="Verdana" w:hAnsi="Verdana"/>
          <w:i/>
          <w:iCs/>
          <w:color w:val="000000" w:themeColor="text1"/>
          <w:sz w:val="20"/>
          <w:szCs w:val="20"/>
        </w:rPr>
        <w:t>Estado</w:t>
      </w:r>
      <w:r w:rsidR="004A0D3A" w:rsidRPr="0060123C">
        <w:rPr>
          <w:rFonts w:ascii="Verdana" w:hAnsi="Verdana"/>
          <w:color w:val="000000" w:themeColor="text1"/>
          <w:sz w:val="20"/>
          <w:szCs w:val="20"/>
        </w:rPr>
        <w:t xml:space="preserve"> </w:t>
      </w:r>
      <w:r w:rsidR="00FF292A" w:rsidRPr="0060123C">
        <w:rPr>
          <w:rFonts w:ascii="Verdana" w:hAnsi="Verdana"/>
          <w:color w:val="000000" w:themeColor="text1"/>
          <w:sz w:val="20"/>
          <w:szCs w:val="20"/>
        </w:rPr>
        <w:t>ha reiterado</w:t>
      </w:r>
      <w:r w:rsidR="00545056" w:rsidRPr="0060123C">
        <w:rPr>
          <w:rStyle w:val="Refdenotaalpie"/>
          <w:rFonts w:ascii="Verdana" w:hAnsi="Verdana"/>
          <w:color w:val="000000" w:themeColor="text1"/>
          <w:sz w:val="20"/>
          <w:szCs w:val="20"/>
        </w:rPr>
        <w:footnoteReference w:id="16"/>
      </w:r>
      <w:r w:rsidR="00FF292A" w:rsidRPr="0060123C">
        <w:rPr>
          <w:rFonts w:ascii="Verdana" w:hAnsi="Verdana"/>
          <w:color w:val="000000" w:themeColor="text1"/>
          <w:sz w:val="20"/>
          <w:szCs w:val="20"/>
        </w:rPr>
        <w:t xml:space="preserve"> </w:t>
      </w:r>
      <w:r w:rsidR="004A0D3A" w:rsidRPr="0060123C">
        <w:rPr>
          <w:rFonts w:ascii="Verdana" w:hAnsi="Verdana"/>
          <w:color w:val="000000" w:themeColor="text1"/>
          <w:sz w:val="20"/>
          <w:szCs w:val="20"/>
        </w:rPr>
        <w:t xml:space="preserve">que </w:t>
      </w:r>
      <w:r w:rsidR="00D02A50" w:rsidRPr="0060123C">
        <w:rPr>
          <w:rFonts w:ascii="Verdana" w:hAnsi="Verdana"/>
          <w:sz w:val="20"/>
          <w:szCs w:val="20"/>
        </w:rPr>
        <w:t>las entidades estatales responsables del pago (</w:t>
      </w:r>
      <w:r w:rsidR="00D02A50" w:rsidRPr="0060123C">
        <w:rPr>
          <w:rFonts w:ascii="Verdana" w:hAnsi="Verdana"/>
          <w:i/>
          <w:iCs/>
          <w:sz w:val="20"/>
          <w:szCs w:val="20"/>
        </w:rPr>
        <w:t>supra</w:t>
      </w:r>
      <w:r w:rsidR="00D02A50" w:rsidRPr="0060123C">
        <w:rPr>
          <w:rFonts w:ascii="Verdana" w:hAnsi="Verdana"/>
          <w:sz w:val="20"/>
          <w:szCs w:val="20"/>
        </w:rPr>
        <w:t xml:space="preserve"> Considerando </w:t>
      </w:r>
      <w:r w:rsidR="008310BB" w:rsidRPr="0060123C">
        <w:rPr>
          <w:rFonts w:ascii="Verdana" w:hAnsi="Verdana"/>
          <w:sz w:val="20"/>
          <w:szCs w:val="20"/>
        </w:rPr>
        <w:t>6</w:t>
      </w:r>
      <w:r w:rsidR="00D02A50" w:rsidRPr="0060123C">
        <w:rPr>
          <w:rFonts w:ascii="Verdana" w:hAnsi="Verdana"/>
          <w:sz w:val="20"/>
          <w:szCs w:val="20"/>
        </w:rPr>
        <w:t xml:space="preserve">), deben dar cumplimiento </w:t>
      </w:r>
      <w:r w:rsidR="00D02A50" w:rsidRPr="0060123C">
        <w:rPr>
          <w:rFonts w:ascii="Verdana" w:hAnsi="Verdana"/>
          <w:color w:val="000000" w:themeColor="text1"/>
          <w:sz w:val="20"/>
          <w:szCs w:val="20"/>
        </w:rPr>
        <w:t xml:space="preserve">siguiendo la </w:t>
      </w:r>
      <w:bookmarkStart w:id="7" w:name="_Hlk97126817"/>
      <w:r w:rsidR="0056428D" w:rsidRPr="0060123C">
        <w:rPr>
          <w:rFonts w:ascii="Verdana" w:hAnsi="Verdana"/>
          <w:color w:val="000000" w:themeColor="text1"/>
          <w:sz w:val="20"/>
          <w:szCs w:val="20"/>
        </w:rPr>
        <w:t xml:space="preserve">normativa </w:t>
      </w:r>
      <w:r w:rsidR="00D02A50" w:rsidRPr="0060123C">
        <w:rPr>
          <w:rFonts w:ascii="Verdana" w:hAnsi="Verdana"/>
          <w:color w:val="000000" w:themeColor="text1"/>
          <w:sz w:val="20"/>
          <w:szCs w:val="20"/>
        </w:rPr>
        <w:t xml:space="preserve">de priorización </w:t>
      </w:r>
      <w:bookmarkEnd w:id="7"/>
      <w:r w:rsidR="00D02A50" w:rsidRPr="0060123C">
        <w:rPr>
          <w:rFonts w:ascii="Verdana" w:hAnsi="Verdana"/>
          <w:color w:val="000000" w:themeColor="text1"/>
          <w:sz w:val="20"/>
          <w:szCs w:val="20"/>
        </w:rPr>
        <w:t>que establece la</w:t>
      </w:r>
      <w:r w:rsidR="00FF292A" w:rsidRPr="0060123C">
        <w:rPr>
          <w:rFonts w:ascii="Verdana" w:hAnsi="Verdana"/>
          <w:color w:val="000000" w:themeColor="text1"/>
          <w:sz w:val="20"/>
          <w:szCs w:val="20"/>
        </w:rPr>
        <w:t xml:space="preserve"> </w:t>
      </w:r>
      <w:r w:rsidR="00FF292A" w:rsidRPr="0060123C">
        <w:rPr>
          <w:rFonts w:ascii="Verdana" w:hAnsi="Verdana"/>
          <w:sz w:val="20"/>
          <w:szCs w:val="20"/>
        </w:rPr>
        <w:t xml:space="preserve">Ley </w:t>
      </w:r>
      <w:proofErr w:type="spellStart"/>
      <w:r w:rsidR="00FF292A" w:rsidRPr="0060123C">
        <w:rPr>
          <w:rFonts w:ascii="Verdana" w:hAnsi="Verdana"/>
          <w:sz w:val="20"/>
          <w:szCs w:val="20"/>
        </w:rPr>
        <w:t>N</w:t>
      </w:r>
      <w:r w:rsidR="008310BB" w:rsidRPr="0060123C">
        <w:rPr>
          <w:rFonts w:ascii="Verdana" w:hAnsi="Verdana"/>
          <w:sz w:val="20"/>
          <w:szCs w:val="20"/>
        </w:rPr>
        <w:t>°</w:t>
      </w:r>
      <w:proofErr w:type="spellEnd"/>
      <w:r w:rsidR="00FF292A" w:rsidRPr="0060123C">
        <w:rPr>
          <w:rFonts w:ascii="Verdana" w:hAnsi="Verdana"/>
          <w:sz w:val="20"/>
          <w:szCs w:val="20"/>
        </w:rPr>
        <w:t xml:space="preserve"> 30137</w:t>
      </w:r>
      <w:r w:rsidR="00DF3842" w:rsidRPr="0060123C">
        <w:rPr>
          <w:rStyle w:val="Refdenotaalpie"/>
          <w:rFonts w:ascii="Verdana" w:hAnsi="Verdana"/>
          <w:sz w:val="20"/>
          <w:szCs w:val="20"/>
        </w:rPr>
        <w:footnoteReference w:id="17"/>
      </w:r>
      <w:r w:rsidR="00FF292A" w:rsidRPr="0060123C">
        <w:rPr>
          <w:rFonts w:ascii="Verdana" w:hAnsi="Verdana"/>
          <w:color w:val="000000" w:themeColor="text1"/>
          <w:sz w:val="20"/>
          <w:szCs w:val="20"/>
        </w:rPr>
        <w:t xml:space="preserve">. </w:t>
      </w:r>
      <w:r w:rsidR="00070B1F" w:rsidRPr="0060123C">
        <w:rPr>
          <w:rFonts w:ascii="Verdana" w:hAnsi="Verdana"/>
          <w:color w:val="000000" w:themeColor="text1"/>
          <w:sz w:val="20"/>
          <w:szCs w:val="20"/>
        </w:rPr>
        <w:t xml:space="preserve">Explicó que es por tal razón que </w:t>
      </w:r>
      <w:r w:rsidRPr="0060123C">
        <w:rPr>
          <w:rFonts w:ascii="Verdana" w:hAnsi="Verdana"/>
          <w:color w:val="000000" w:themeColor="text1"/>
          <w:sz w:val="20"/>
          <w:szCs w:val="20"/>
        </w:rPr>
        <w:t xml:space="preserve">“las víctimas por violaciones de derechos humanos, incluyendo las que fueron establecidas en </w:t>
      </w:r>
      <w:r w:rsidR="00F22638">
        <w:rPr>
          <w:rFonts w:ascii="Verdana" w:hAnsi="Verdana"/>
          <w:color w:val="000000" w:themeColor="text1"/>
          <w:sz w:val="20"/>
          <w:szCs w:val="20"/>
        </w:rPr>
        <w:t>s</w:t>
      </w:r>
      <w:r w:rsidRPr="0060123C">
        <w:rPr>
          <w:rFonts w:ascii="Verdana" w:hAnsi="Verdana"/>
          <w:color w:val="000000" w:themeColor="text1"/>
          <w:sz w:val="20"/>
          <w:szCs w:val="20"/>
        </w:rPr>
        <w:t>entencias de instancias supranacionales donde se haya determinado la responsabilidad del Estado peruano, están incorporadas en el Grupo 3 de priorización de pago”</w:t>
      </w:r>
      <w:r w:rsidR="00E70347" w:rsidRPr="0060123C">
        <w:rPr>
          <w:rFonts w:ascii="Verdana" w:hAnsi="Verdana"/>
          <w:color w:val="000000" w:themeColor="text1"/>
          <w:sz w:val="20"/>
          <w:szCs w:val="20"/>
        </w:rPr>
        <w:t xml:space="preserve">, conforme al artículo 4.1 del Reglamento de la Ley </w:t>
      </w:r>
      <w:proofErr w:type="spellStart"/>
      <w:r w:rsidR="00E70347" w:rsidRPr="0060123C">
        <w:rPr>
          <w:rFonts w:ascii="Verdana" w:hAnsi="Verdana"/>
          <w:color w:val="000000" w:themeColor="text1"/>
          <w:sz w:val="20"/>
          <w:szCs w:val="20"/>
        </w:rPr>
        <w:t>N°</w:t>
      </w:r>
      <w:proofErr w:type="spellEnd"/>
      <w:r w:rsidR="00E70347" w:rsidRPr="0060123C">
        <w:rPr>
          <w:rFonts w:ascii="Verdana" w:hAnsi="Verdana"/>
          <w:color w:val="000000" w:themeColor="text1"/>
          <w:sz w:val="20"/>
          <w:szCs w:val="20"/>
        </w:rPr>
        <w:t xml:space="preserve"> 30137</w:t>
      </w:r>
      <w:r w:rsidR="00545056" w:rsidRPr="0060123C">
        <w:rPr>
          <w:rStyle w:val="Refdenotaalpie"/>
          <w:rFonts w:ascii="Verdana" w:hAnsi="Verdana"/>
          <w:color w:val="000000" w:themeColor="text1"/>
          <w:sz w:val="20"/>
          <w:szCs w:val="20"/>
        </w:rPr>
        <w:footnoteReference w:id="18"/>
      </w:r>
      <w:r w:rsidR="00545056" w:rsidRPr="0060123C">
        <w:rPr>
          <w:rFonts w:ascii="Verdana" w:hAnsi="Verdana"/>
          <w:color w:val="000000" w:themeColor="text1"/>
          <w:sz w:val="20"/>
          <w:szCs w:val="20"/>
        </w:rPr>
        <w:t>.</w:t>
      </w:r>
    </w:p>
    <w:p w14:paraId="70836118" w14:textId="24C5525B" w:rsidR="00DE7B44" w:rsidRPr="0060123C" w:rsidRDefault="00E87F57" w:rsidP="00DE7B44">
      <w:pPr>
        <w:pStyle w:val="Prrafodelista"/>
        <w:numPr>
          <w:ilvl w:val="0"/>
          <w:numId w:val="5"/>
        </w:numPr>
        <w:spacing w:before="120" w:after="120"/>
        <w:ind w:left="0" w:firstLine="0"/>
        <w:jc w:val="both"/>
        <w:rPr>
          <w:rFonts w:ascii="Verdana" w:hAnsi="Verdana"/>
          <w:sz w:val="20"/>
          <w:szCs w:val="20"/>
        </w:rPr>
      </w:pPr>
      <w:r w:rsidRPr="0060123C">
        <w:rPr>
          <w:rFonts w:ascii="Verdana" w:hAnsi="Verdana"/>
          <w:sz w:val="20"/>
          <w:szCs w:val="20"/>
        </w:rPr>
        <w:t>L</w:t>
      </w:r>
      <w:r w:rsidR="00DE7B44" w:rsidRPr="0060123C">
        <w:rPr>
          <w:rFonts w:ascii="Verdana" w:hAnsi="Verdana"/>
          <w:sz w:val="20"/>
          <w:szCs w:val="20"/>
        </w:rPr>
        <w:t xml:space="preserve">os </w:t>
      </w:r>
      <w:r w:rsidR="00DE7B44" w:rsidRPr="00F22638">
        <w:rPr>
          <w:rFonts w:ascii="Verdana" w:hAnsi="Verdana"/>
          <w:i/>
          <w:iCs/>
          <w:sz w:val="20"/>
          <w:szCs w:val="20"/>
        </w:rPr>
        <w:t>representantes</w:t>
      </w:r>
      <w:r w:rsidRPr="00F22638">
        <w:rPr>
          <w:rFonts w:ascii="Verdana" w:hAnsi="Verdana"/>
          <w:i/>
          <w:iCs/>
          <w:sz w:val="20"/>
          <w:szCs w:val="20"/>
        </w:rPr>
        <w:t xml:space="preserve"> y la Comisión</w:t>
      </w:r>
      <w:r w:rsidR="00DE7B44" w:rsidRPr="0060123C">
        <w:rPr>
          <w:rFonts w:ascii="Verdana" w:hAnsi="Verdana"/>
          <w:sz w:val="20"/>
          <w:szCs w:val="20"/>
        </w:rPr>
        <w:t xml:space="preserve"> expresaron su preocupación por la demora en el cumplimiento de las </w:t>
      </w:r>
      <w:r w:rsidR="0056428D" w:rsidRPr="0060123C">
        <w:rPr>
          <w:rFonts w:ascii="Verdana" w:hAnsi="Verdana"/>
          <w:sz w:val="20"/>
          <w:szCs w:val="20"/>
        </w:rPr>
        <w:t>referidas reparaciones</w:t>
      </w:r>
      <w:r w:rsidR="00DE7B44" w:rsidRPr="0060123C">
        <w:rPr>
          <w:rFonts w:ascii="Verdana" w:hAnsi="Verdana"/>
          <w:color w:val="000000" w:themeColor="text1"/>
          <w:sz w:val="20"/>
          <w:szCs w:val="20"/>
        </w:rPr>
        <w:t>.</w:t>
      </w:r>
      <w:r w:rsidR="00DE7B44" w:rsidRPr="0060123C">
        <w:rPr>
          <w:rFonts w:ascii="Verdana" w:hAnsi="Verdana"/>
          <w:sz w:val="20"/>
          <w:szCs w:val="20"/>
        </w:rPr>
        <w:t xml:space="preserve"> </w:t>
      </w:r>
      <w:r w:rsidR="00B83DEC" w:rsidRPr="0060123C">
        <w:rPr>
          <w:rFonts w:ascii="Verdana" w:hAnsi="Verdana"/>
          <w:sz w:val="20"/>
          <w:szCs w:val="20"/>
        </w:rPr>
        <w:t>E</w:t>
      </w:r>
      <w:r w:rsidR="00DE7B44" w:rsidRPr="0060123C">
        <w:rPr>
          <w:rFonts w:ascii="Verdana" w:hAnsi="Verdana"/>
          <w:sz w:val="20"/>
          <w:szCs w:val="20"/>
        </w:rPr>
        <w:t xml:space="preserve">l </w:t>
      </w:r>
      <w:r w:rsidR="00DE7B44" w:rsidRPr="00F22638">
        <w:rPr>
          <w:rFonts w:ascii="Verdana" w:hAnsi="Verdana"/>
          <w:i/>
          <w:iCs/>
          <w:sz w:val="20"/>
          <w:szCs w:val="20"/>
        </w:rPr>
        <w:t>Estado</w:t>
      </w:r>
      <w:r w:rsidR="00DE7B44" w:rsidRPr="0060123C">
        <w:rPr>
          <w:rFonts w:ascii="Verdana" w:hAnsi="Verdana"/>
          <w:sz w:val="20"/>
          <w:szCs w:val="20"/>
        </w:rPr>
        <w:t xml:space="preserve"> </w:t>
      </w:r>
      <w:r w:rsidR="00886E70" w:rsidRPr="0060123C">
        <w:rPr>
          <w:rFonts w:ascii="Verdana" w:hAnsi="Verdana"/>
          <w:sz w:val="20"/>
          <w:szCs w:val="20"/>
        </w:rPr>
        <w:t>sostuvo</w:t>
      </w:r>
      <w:r w:rsidR="00DE7B44" w:rsidRPr="0060123C">
        <w:rPr>
          <w:rFonts w:ascii="Verdana" w:hAnsi="Verdana"/>
          <w:sz w:val="20"/>
          <w:szCs w:val="20"/>
        </w:rPr>
        <w:t xml:space="preserve"> “que presentó debidamente razones que justificaron la demora en el pago de las reparaciones económicas, puesto que el Sistema de Defensa Jurídica del Estado, desde el año [2020] se encuentra en tránsito a la Procuraduría General del Estado, lo que conlleva la creación de nuevos órganos administrativos, procedimientos, entre otros”</w:t>
      </w:r>
      <w:r w:rsidR="00DE7B44" w:rsidRPr="0060123C">
        <w:rPr>
          <w:rStyle w:val="Refdenotaalpie"/>
          <w:rFonts w:ascii="Verdana" w:hAnsi="Verdana"/>
          <w:sz w:val="20"/>
          <w:szCs w:val="20"/>
        </w:rPr>
        <w:footnoteReference w:id="19"/>
      </w:r>
      <w:r w:rsidR="00DE7B44" w:rsidRPr="0060123C">
        <w:rPr>
          <w:rFonts w:ascii="Verdana" w:hAnsi="Verdana"/>
          <w:sz w:val="20"/>
          <w:szCs w:val="20"/>
        </w:rPr>
        <w:t xml:space="preserve">. Sumado a ello, consideró “que la situación de pandemia es un factor </w:t>
      </w:r>
      <w:proofErr w:type="gramStart"/>
      <w:r w:rsidR="00DE7B44" w:rsidRPr="0060123C">
        <w:rPr>
          <w:rFonts w:ascii="Verdana" w:hAnsi="Verdana"/>
          <w:sz w:val="20"/>
          <w:szCs w:val="20"/>
        </w:rPr>
        <w:t>a</w:t>
      </w:r>
      <w:proofErr w:type="gramEnd"/>
      <w:r w:rsidR="00DE7B44" w:rsidRPr="0060123C">
        <w:rPr>
          <w:rFonts w:ascii="Verdana" w:hAnsi="Verdana"/>
          <w:sz w:val="20"/>
          <w:szCs w:val="20"/>
        </w:rPr>
        <w:t xml:space="preserve"> tener en cuenta respecto de las coordinaciones institucionales”</w:t>
      </w:r>
      <w:r w:rsidR="00DE7B44" w:rsidRPr="0060123C">
        <w:rPr>
          <w:rStyle w:val="Refdenotaalpie"/>
          <w:rFonts w:ascii="Verdana" w:hAnsi="Verdana"/>
          <w:color w:val="000000" w:themeColor="text1"/>
          <w:sz w:val="20"/>
          <w:szCs w:val="20"/>
        </w:rPr>
        <w:footnoteReference w:id="20"/>
      </w:r>
      <w:r w:rsidR="00DE7B44" w:rsidRPr="0060123C">
        <w:rPr>
          <w:rFonts w:ascii="Verdana" w:hAnsi="Verdana"/>
          <w:sz w:val="20"/>
          <w:szCs w:val="20"/>
        </w:rPr>
        <w:t xml:space="preserve">. </w:t>
      </w:r>
      <w:r w:rsidR="00DE7B44" w:rsidRPr="0060123C">
        <w:rPr>
          <w:rFonts w:ascii="Verdana" w:hAnsi="Verdana"/>
          <w:color w:val="000000" w:themeColor="text1"/>
          <w:sz w:val="20"/>
          <w:szCs w:val="20"/>
        </w:rPr>
        <w:t xml:space="preserve">La </w:t>
      </w:r>
      <w:r w:rsidR="00DE7B44" w:rsidRPr="00D645EE">
        <w:rPr>
          <w:rFonts w:ascii="Verdana" w:hAnsi="Verdana"/>
          <w:i/>
          <w:iCs/>
          <w:color w:val="000000" w:themeColor="text1"/>
          <w:sz w:val="20"/>
          <w:szCs w:val="20"/>
        </w:rPr>
        <w:t>Comisión</w:t>
      </w:r>
      <w:r w:rsidR="00DE7B44" w:rsidRPr="0060123C">
        <w:rPr>
          <w:rFonts w:ascii="Verdana" w:hAnsi="Verdana"/>
          <w:color w:val="000000" w:themeColor="text1"/>
          <w:sz w:val="20"/>
          <w:szCs w:val="20"/>
        </w:rPr>
        <w:t xml:space="preserve"> reconoció “las dificultades devenidas por </w:t>
      </w:r>
      <w:r w:rsidR="00DE7B44" w:rsidRPr="0060123C">
        <w:rPr>
          <w:rFonts w:ascii="Verdana" w:hAnsi="Verdana"/>
          <w:color w:val="000000" w:themeColor="text1"/>
          <w:sz w:val="20"/>
          <w:szCs w:val="20"/>
        </w:rPr>
        <w:lastRenderedPageBreak/>
        <w:t xml:space="preserve">la pandemia en la administración pública; no obstante, </w:t>
      </w:r>
      <w:r w:rsidR="00F0263F" w:rsidRPr="0060123C">
        <w:rPr>
          <w:rFonts w:ascii="Verdana" w:hAnsi="Verdana"/>
          <w:color w:val="000000" w:themeColor="text1"/>
          <w:sz w:val="20"/>
          <w:szCs w:val="20"/>
        </w:rPr>
        <w:t>[…]</w:t>
      </w:r>
      <w:r w:rsidR="00DE7B44" w:rsidRPr="0060123C">
        <w:rPr>
          <w:rFonts w:ascii="Verdana" w:hAnsi="Verdana"/>
          <w:color w:val="000000" w:themeColor="text1"/>
          <w:sz w:val="20"/>
          <w:szCs w:val="20"/>
        </w:rPr>
        <w:t xml:space="preserve">, </w:t>
      </w:r>
      <w:proofErr w:type="spellStart"/>
      <w:r w:rsidR="00DE7B44" w:rsidRPr="0060123C">
        <w:rPr>
          <w:rFonts w:ascii="Verdana" w:hAnsi="Verdana"/>
          <w:color w:val="000000" w:themeColor="text1"/>
          <w:sz w:val="20"/>
          <w:szCs w:val="20"/>
        </w:rPr>
        <w:t>resalt</w:t>
      </w:r>
      <w:proofErr w:type="spellEnd"/>
      <w:r w:rsidR="00DE7B44" w:rsidRPr="0060123C">
        <w:rPr>
          <w:rFonts w:ascii="Verdana" w:hAnsi="Verdana"/>
          <w:color w:val="000000" w:themeColor="text1"/>
          <w:sz w:val="20"/>
          <w:szCs w:val="20"/>
        </w:rPr>
        <w:t>[</w:t>
      </w:r>
      <w:proofErr w:type="spellStart"/>
      <w:r w:rsidR="00DE7B44" w:rsidRPr="0060123C">
        <w:rPr>
          <w:rFonts w:ascii="Verdana" w:hAnsi="Verdana"/>
          <w:color w:val="000000" w:themeColor="text1"/>
          <w:sz w:val="20"/>
          <w:szCs w:val="20"/>
        </w:rPr>
        <w:t>ó</w:t>
      </w:r>
      <w:proofErr w:type="spellEnd"/>
      <w:r w:rsidR="00DE7B44" w:rsidRPr="0060123C">
        <w:rPr>
          <w:rFonts w:ascii="Verdana" w:hAnsi="Verdana"/>
          <w:color w:val="000000" w:themeColor="text1"/>
          <w:sz w:val="20"/>
          <w:szCs w:val="20"/>
        </w:rPr>
        <w:t xml:space="preserve">] la importancia que el Estado pueda concretar acciones con miras a superar dichas dificultades, y cumplir con su obligación de pago a la brevedad”. </w:t>
      </w:r>
    </w:p>
    <w:p w14:paraId="6F0213D5" w14:textId="15AA9FF7" w:rsidR="00F0263F" w:rsidRPr="0060123C" w:rsidRDefault="0088696A" w:rsidP="0088696A">
      <w:pPr>
        <w:pStyle w:val="Prrafodelista"/>
        <w:numPr>
          <w:ilvl w:val="0"/>
          <w:numId w:val="5"/>
        </w:numPr>
        <w:spacing w:before="120" w:after="120"/>
        <w:ind w:left="0" w:firstLine="0"/>
        <w:jc w:val="both"/>
        <w:rPr>
          <w:rFonts w:ascii="Verdana" w:hAnsi="Verdana"/>
          <w:sz w:val="20"/>
          <w:szCs w:val="20"/>
        </w:rPr>
      </w:pPr>
      <w:r w:rsidRPr="0060123C">
        <w:rPr>
          <w:rFonts w:ascii="Verdana" w:hAnsi="Verdana"/>
          <w:color w:val="000000" w:themeColor="text1"/>
          <w:sz w:val="20"/>
          <w:szCs w:val="20"/>
        </w:rPr>
        <w:t>En particular, l</w:t>
      </w:r>
      <w:r w:rsidR="00F0263F" w:rsidRPr="0060123C">
        <w:rPr>
          <w:rFonts w:ascii="Verdana" w:hAnsi="Verdana"/>
          <w:color w:val="000000" w:themeColor="text1"/>
          <w:sz w:val="20"/>
          <w:szCs w:val="20"/>
        </w:rPr>
        <w:t>os representantes del señor José Castro Ballena</w:t>
      </w:r>
      <w:r w:rsidR="00F0263F" w:rsidRPr="0060123C">
        <w:rPr>
          <w:rFonts w:ascii="Verdana" w:hAnsi="Verdana"/>
          <w:sz w:val="20"/>
          <w:szCs w:val="20"/>
        </w:rPr>
        <w:t xml:space="preserve">, víctima del </w:t>
      </w:r>
      <w:r w:rsidR="00F0263F" w:rsidRPr="0060123C">
        <w:rPr>
          <w:rFonts w:ascii="Verdana" w:hAnsi="Verdana"/>
          <w:i/>
          <w:iCs/>
          <w:color w:val="000000" w:themeColor="text1"/>
          <w:sz w:val="20"/>
          <w:szCs w:val="20"/>
        </w:rPr>
        <w:t>Caso Canales Huapaya y otro</w:t>
      </w:r>
      <w:r w:rsidR="00A81176" w:rsidRPr="0060123C">
        <w:rPr>
          <w:rFonts w:ascii="Verdana" w:hAnsi="Verdana"/>
          <w:i/>
          <w:iCs/>
          <w:color w:val="000000" w:themeColor="text1"/>
          <w:sz w:val="20"/>
          <w:szCs w:val="20"/>
        </w:rPr>
        <w:t>s</w:t>
      </w:r>
      <w:r w:rsidR="00F0263F" w:rsidRPr="0060123C">
        <w:rPr>
          <w:rFonts w:ascii="Verdana" w:hAnsi="Verdana"/>
          <w:color w:val="000000" w:themeColor="text1"/>
          <w:sz w:val="20"/>
          <w:szCs w:val="20"/>
        </w:rPr>
        <w:t>,</w:t>
      </w:r>
      <w:r w:rsidR="00F0263F" w:rsidRPr="0060123C">
        <w:rPr>
          <w:rFonts w:ascii="Verdana" w:hAnsi="Verdana"/>
          <w:sz w:val="20"/>
          <w:szCs w:val="20"/>
        </w:rPr>
        <w:t xml:space="preserve"> </w:t>
      </w:r>
      <w:r w:rsidR="001A7BF2" w:rsidRPr="0060123C">
        <w:rPr>
          <w:rFonts w:ascii="Verdana" w:hAnsi="Verdana"/>
          <w:sz w:val="20"/>
          <w:szCs w:val="20"/>
        </w:rPr>
        <w:t>s</w:t>
      </w:r>
      <w:r w:rsidR="00F0263F" w:rsidRPr="0060123C">
        <w:rPr>
          <w:rFonts w:ascii="Verdana" w:hAnsi="Verdana"/>
          <w:sz w:val="20"/>
          <w:szCs w:val="20"/>
        </w:rPr>
        <w:t xml:space="preserve">ostuvieron que la decisión de la </w:t>
      </w:r>
      <w:r w:rsidR="00F0263F" w:rsidRPr="0060123C">
        <w:rPr>
          <w:rFonts w:ascii="Verdana" w:hAnsi="Verdana"/>
          <w:color w:val="000000" w:themeColor="text1"/>
          <w:sz w:val="20"/>
          <w:szCs w:val="20"/>
        </w:rPr>
        <w:t>Presidencia del Consejo de Defensa Jurídica del Estado</w:t>
      </w:r>
      <w:r w:rsidR="00DD6338" w:rsidRPr="0060123C">
        <w:rPr>
          <w:rFonts w:ascii="Verdana" w:hAnsi="Verdana"/>
          <w:color w:val="000000" w:themeColor="text1"/>
          <w:sz w:val="20"/>
          <w:szCs w:val="20"/>
        </w:rPr>
        <w:t xml:space="preserve"> (</w:t>
      </w:r>
      <w:r w:rsidR="00DD6338" w:rsidRPr="0060123C">
        <w:rPr>
          <w:rFonts w:ascii="Verdana" w:hAnsi="Verdana"/>
          <w:i/>
          <w:iCs/>
          <w:color w:val="000000" w:themeColor="text1"/>
          <w:sz w:val="20"/>
          <w:szCs w:val="20"/>
        </w:rPr>
        <w:t>supra</w:t>
      </w:r>
      <w:r w:rsidR="00DD6338" w:rsidRPr="0060123C">
        <w:rPr>
          <w:rFonts w:ascii="Verdana" w:hAnsi="Verdana"/>
          <w:color w:val="000000" w:themeColor="text1"/>
          <w:sz w:val="20"/>
          <w:szCs w:val="20"/>
        </w:rPr>
        <w:t xml:space="preserve"> Considerando </w:t>
      </w:r>
      <w:r w:rsidR="00A81176" w:rsidRPr="0060123C">
        <w:rPr>
          <w:rFonts w:ascii="Verdana" w:hAnsi="Verdana"/>
          <w:color w:val="000000" w:themeColor="text1"/>
          <w:sz w:val="20"/>
          <w:szCs w:val="20"/>
        </w:rPr>
        <w:t>6</w:t>
      </w:r>
      <w:r w:rsidR="00DD6338" w:rsidRPr="0060123C">
        <w:rPr>
          <w:rFonts w:ascii="Verdana" w:hAnsi="Verdana"/>
          <w:color w:val="000000" w:themeColor="text1"/>
          <w:sz w:val="20"/>
          <w:szCs w:val="20"/>
        </w:rPr>
        <w:t>)</w:t>
      </w:r>
      <w:r w:rsidR="00F0263F" w:rsidRPr="0060123C">
        <w:rPr>
          <w:rFonts w:ascii="Verdana" w:hAnsi="Verdana"/>
          <w:sz w:val="20"/>
          <w:szCs w:val="20"/>
        </w:rPr>
        <w:t xml:space="preserve"> “desnaturaliza</w:t>
      </w:r>
      <w:r w:rsidR="00621C65" w:rsidRPr="0060123C">
        <w:rPr>
          <w:rFonts w:ascii="Verdana" w:hAnsi="Verdana"/>
          <w:sz w:val="20"/>
          <w:szCs w:val="20"/>
        </w:rPr>
        <w:t>”</w:t>
      </w:r>
      <w:r w:rsidR="00F0263F" w:rsidRPr="0060123C">
        <w:rPr>
          <w:rFonts w:ascii="Verdana" w:hAnsi="Verdana"/>
          <w:sz w:val="20"/>
          <w:szCs w:val="20"/>
        </w:rPr>
        <w:t xml:space="preserve"> la </w:t>
      </w:r>
      <w:r w:rsidR="00621C65" w:rsidRPr="0060123C">
        <w:rPr>
          <w:rFonts w:ascii="Verdana" w:hAnsi="Verdana"/>
          <w:sz w:val="20"/>
          <w:szCs w:val="20"/>
        </w:rPr>
        <w:t>S</w:t>
      </w:r>
      <w:r w:rsidR="00F0263F" w:rsidRPr="0060123C">
        <w:rPr>
          <w:rFonts w:ascii="Verdana" w:hAnsi="Verdana"/>
          <w:sz w:val="20"/>
          <w:szCs w:val="20"/>
        </w:rPr>
        <w:t>entencia</w:t>
      </w:r>
      <w:r w:rsidR="00621C65" w:rsidRPr="0060123C">
        <w:rPr>
          <w:rFonts w:ascii="Verdana" w:hAnsi="Verdana"/>
          <w:sz w:val="20"/>
          <w:szCs w:val="20"/>
        </w:rPr>
        <w:t>,</w:t>
      </w:r>
      <w:r w:rsidR="00F0263F" w:rsidRPr="0060123C">
        <w:rPr>
          <w:rFonts w:ascii="Verdana" w:hAnsi="Verdana"/>
          <w:sz w:val="20"/>
          <w:szCs w:val="20"/>
        </w:rPr>
        <w:t xml:space="preserve"> pues </w:t>
      </w:r>
      <w:r w:rsidRPr="0060123C">
        <w:rPr>
          <w:rFonts w:ascii="Verdana" w:hAnsi="Verdana"/>
          <w:sz w:val="20"/>
          <w:szCs w:val="20"/>
        </w:rPr>
        <w:t>las</w:t>
      </w:r>
      <w:r w:rsidR="00F0263F" w:rsidRPr="0060123C">
        <w:rPr>
          <w:rFonts w:ascii="Verdana" w:hAnsi="Verdana"/>
          <w:sz w:val="20"/>
          <w:szCs w:val="20"/>
        </w:rPr>
        <w:t xml:space="preserve"> indemnizaciones </w:t>
      </w:r>
      <w:r w:rsidRPr="0060123C">
        <w:rPr>
          <w:rFonts w:ascii="Verdana" w:hAnsi="Verdana"/>
          <w:sz w:val="20"/>
          <w:szCs w:val="20"/>
        </w:rPr>
        <w:t>“</w:t>
      </w:r>
      <w:r w:rsidR="00F0263F" w:rsidRPr="0060123C">
        <w:rPr>
          <w:rFonts w:ascii="Verdana" w:hAnsi="Verdana"/>
          <w:sz w:val="20"/>
          <w:szCs w:val="20"/>
        </w:rPr>
        <w:t xml:space="preserve">que se habían </w:t>
      </w:r>
      <w:proofErr w:type="spellStart"/>
      <w:r w:rsidR="00F0263F" w:rsidRPr="0060123C">
        <w:rPr>
          <w:rFonts w:ascii="Verdana" w:hAnsi="Verdana"/>
          <w:sz w:val="20"/>
          <w:szCs w:val="20"/>
        </w:rPr>
        <w:t>fijad</w:t>
      </w:r>
      <w:proofErr w:type="spellEnd"/>
      <w:r w:rsidR="00A81176" w:rsidRPr="0060123C">
        <w:rPr>
          <w:rFonts w:ascii="Verdana" w:hAnsi="Verdana"/>
          <w:sz w:val="20"/>
          <w:szCs w:val="20"/>
        </w:rPr>
        <w:t>[o]</w:t>
      </w:r>
      <w:r w:rsidR="00F0263F" w:rsidRPr="0060123C">
        <w:rPr>
          <w:rFonts w:ascii="Verdana" w:hAnsi="Verdana"/>
          <w:sz w:val="20"/>
          <w:szCs w:val="20"/>
        </w:rPr>
        <w:t xml:space="preserve"> de manera individual</w:t>
      </w:r>
      <w:r w:rsidRPr="0060123C">
        <w:rPr>
          <w:rFonts w:ascii="Verdana" w:hAnsi="Verdana"/>
          <w:sz w:val="20"/>
          <w:szCs w:val="20"/>
        </w:rPr>
        <w:t>”</w:t>
      </w:r>
      <w:r w:rsidR="00F0263F" w:rsidRPr="0060123C">
        <w:rPr>
          <w:rFonts w:ascii="Verdana" w:hAnsi="Verdana"/>
          <w:sz w:val="20"/>
          <w:szCs w:val="20"/>
        </w:rPr>
        <w:t xml:space="preserve"> para cada una de las </w:t>
      </w:r>
      <w:r w:rsidRPr="0060123C">
        <w:rPr>
          <w:rFonts w:ascii="Verdana" w:hAnsi="Verdana"/>
          <w:sz w:val="20"/>
          <w:szCs w:val="20"/>
        </w:rPr>
        <w:t xml:space="preserve">tres </w:t>
      </w:r>
      <w:r w:rsidR="00F0263F" w:rsidRPr="0060123C">
        <w:rPr>
          <w:rFonts w:ascii="Verdana" w:hAnsi="Verdana"/>
          <w:sz w:val="20"/>
          <w:szCs w:val="20"/>
        </w:rPr>
        <w:t xml:space="preserve">víctimas, </w:t>
      </w:r>
      <w:r w:rsidRPr="0060123C">
        <w:rPr>
          <w:rFonts w:ascii="Verdana" w:hAnsi="Verdana"/>
          <w:sz w:val="20"/>
          <w:szCs w:val="20"/>
        </w:rPr>
        <w:t>“</w:t>
      </w:r>
      <w:r w:rsidR="00F0263F" w:rsidRPr="0060123C">
        <w:rPr>
          <w:rFonts w:ascii="Verdana" w:hAnsi="Verdana"/>
          <w:sz w:val="20"/>
          <w:szCs w:val="20"/>
        </w:rPr>
        <w:t>de manera arbitraria y unilateral fueron unificadas […] volviéndola una única deuda, acto que retrasaría</w:t>
      </w:r>
      <w:r w:rsidR="00DD6338" w:rsidRPr="0060123C">
        <w:rPr>
          <w:rFonts w:ascii="Verdana" w:hAnsi="Verdana"/>
          <w:sz w:val="20"/>
          <w:szCs w:val="20"/>
        </w:rPr>
        <w:t xml:space="preserve"> […]</w:t>
      </w:r>
      <w:r w:rsidR="00F0263F" w:rsidRPr="0060123C">
        <w:rPr>
          <w:rFonts w:ascii="Verdana" w:hAnsi="Verdana"/>
          <w:sz w:val="20"/>
          <w:szCs w:val="20"/>
        </w:rPr>
        <w:t xml:space="preserve"> la efectivización de las indemnizaciones”</w:t>
      </w:r>
      <w:r w:rsidRPr="0060123C">
        <w:rPr>
          <w:rFonts w:ascii="Verdana" w:hAnsi="Verdana"/>
          <w:sz w:val="20"/>
          <w:szCs w:val="20"/>
        </w:rPr>
        <w:t xml:space="preserve">, y que hizo </w:t>
      </w:r>
      <w:r w:rsidR="00F0263F" w:rsidRPr="0060123C">
        <w:rPr>
          <w:rFonts w:ascii="Verdana" w:hAnsi="Verdana"/>
          <w:sz w:val="20"/>
          <w:szCs w:val="20"/>
        </w:rPr>
        <w:t xml:space="preserve">inejecutable la </w:t>
      </w:r>
      <w:r w:rsidR="00042EFC" w:rsidRPr="0060123C">
        <w:rPr>
          <w:rFonts w:ascii="Verdana" w:hAnsi="Verdana"/>
          <w:sz w:val="20"/>
          <w:szCs w:val="20"/>
        </w:rPr>
        <w:t>S</w:t>
      </w:r>
      <w:r w:rsidR="00F0263F" w:rsidRPr="0060123C">
        <w:rPr>
          <w:rFonts w:ascii="Verdana" w:hAnsi="Verdana"/>
          <w:sz w:val="20"/>
          <w:szCs w:val="20"/>
        </w:rPr>
        <w:t xml:space="preserve">entencia debido a que el Estado “no ha tenido en cuenta el estado financiero y presupuestal de cada </w:t>
      </w:r>
      <w:proofErr w:type="spellStart"/>
      <w:r w:rsidR="00F0263F" w:rsidRPr="0060123C">
        <w:rPr>
          <w:rFonts w:ascii="Verdana" w:hAnsi="Verdana"/>
          <w:sz w:val="20"/>
          <w:szCs w:val="20"/>
        </w:rPr>
        <w:t>instituci</w:t>
      </w:r>
      <w:proofErr w:type="spellEnd"/>
      <w:r w:rsidR="00F0263F" w:rsidRPr="0060123C">
        <w:rPr>
          <w:rFonts w:ascii="Verdana" w:hAnsi="Verdana"/>
          <w:sz w:val="20"/>
          <w:szCs w:val="20"/>
        </w:rPr>
        <w:t>[</w:t>
      </w:r>
      <w:proofErr w:type="spellStart"/>
      <w:r w:rsidR="00F0263F" w:rsidRPr="0060123C">
        <w:rPr>
          <w:rFonts w:ascii="Verdana" w:hAnsi="Verdana"/>
          <w:sz w:val="20"/>
          <w:szCs w:val="20"/>
        </w:rPr>
        <w:t>ón</w:t>
      </w:r>
      <w:proofErr w:type="spellEnd"/>
      <w:r w:rsidR="00F0263F" w:rsidRPr="0060123C">
        <w:rPr>
          <w:rFonts w:ascii="Verdana" w:hAnsi="Verdana"/>
          <w:sz w:val="20"/>
          <w:szCs w:val="20"/>
        </w:rPr>
        <w:t xml:space="preserve"> …] para el pago de indemnizaciones”.</w:t>
      </w:r>
      <w:r w:rsidR="00F0263F" w:rsidRPr="0060123C">
        <w:rPr>
          <w:rFonts w:ascii="Verdana" w:hAnsi="Verdana"/>
          <w:b/>
          <w:bCs/>
          <w:sz w:val="20"/>
          <w:szCs w:val="20"/>
        </w:rPr>
        <w:t xml:space="preserve"> </w:t>
      </w:r>
      <w:r w:rsidR="00D645EE">
        <w:rPr>
          <w:rFonts w:ascii="Verdana" w:hAnsi="Verdana"/>
          <w:color w:val="000000" w:themeColor="text1"/>
          <w:sz w:val="20"/>
          <w:szCs w:val="20"/>
        </w:rPr>
        <w:t>Al respecto</w:t>
      </w:r>
      <w:r w:rsidRPr="0060123C">
        <w:rPr>
          <w:rFonts w:ascii="Verdana" w:hAnsi="Verdana"/>
          <w:color w:val="000000" w:themeColor="text1"/>
          <w:sz w:val="20"/>
          <w:szCs w:val="20"/>
        </w:rPr>
        <w:t>, e</w:t>
      </w:r>
      <w:r w:rsidR="00F0263F" w:rsidRPr="0060123C">
        <w:rPr>
          <w:rFonts w:ascii="Verdana" w:hAnsi="Verdana"/>
          <w:color w:val="000000" w:themeColor="text1"/>
          <w:sz w:val="20"/>
          <w:szCs w:val="20"/>
        </w:rPr>
        <w:t xml:space="preserve">l </w:t>
      </w:r>
      <w:r w:rsidR="00F0263F" w:rsidRPr="00D645EE">
        <w:rPr>
          <w:rFonts w:ascii="Verdana" w:hAnsi="Verdana"/>
          <w:i/>
          <w:iCs/>
          <w:color w:val="000000" w:themeColor="text1"/>
          <w:sz w:val="20"/>
          <w:szCs w:val="20"/>
        </w:rPr>
        <w:t>Estado</w:t>
      </w:r>
      <w:r w:rsidR="00F0263F" w:rsidRPr="0060123C">
        <w:rPr>
          <w:rFonts w:ascii="Verdana" w:hAnsi="Verdana"/>
          <w:color w:val="000000" w:themeColor="text1"/>
          <w:sz w:val="20"/>
          <w:szCs w:val="20"/>
        </w:rPr>
        <w:t xml:space="preserve"> indicó que tal procedimiento se estableció siguiendo lo señalado en el artículo 68</w:t>
      </w:r>
      <w:r w:rsidRPr="0060123C">
        <w:rPr>
          <w:rFonts w:ascii="Verdana" w:hAnsi="Verdana"/>
          <w:color w:val="000000" w:themeColor="text1"/>
          <w:sz w:val="20"/>
          <w:szCs w:val="20"/>
        </w:rPr>
        <w:t>.2</w:t>
      </w:r>
      <w:r w:rsidR="00F0263F" w:rsidRPr="0060123C">
        <w:rPr>
          <w:rFonts w:ascii="Verdana" w:hAnsi="Verdana"/>
          <w:color w:val="000000" w:themeColor="text1"/>
          <w:sz w:val="20"/>
          <w:szCs w:val="20"/>
        </w:rPr>
        <w:t xml:space="preserve"> de la Convención Americana,</w:t>
      </w:r>
      <w:r w:rsidRPr="0060123C">
        <w:rPr>
          <w:rFonts w:ascii="Verdana" w:hAnsi="Verdana"/>
          <w:color w:val="000000" w:themeColor="text1"/>
          <w:sz w:val="20"/>
          <w:szCs w:val="20"/>
        </w:rPr>
        <w:t xml:space="preserve"> y que</w:t>
      </w:r>
      <w:r w:rsidR="00F0263F" w:rsidRPr="0060123C">
        <w:rPr>
          <w:rFonts w:ascii="Verdana" w:hAnsi="Verdana"/>
          <w:color w:val="000000" w:themeColor="text1"/>
          <w:sz w:val="20"/>
          <w:szCs w:val="20"/>
        </w:rPr>
        <w:t xml:space="preserve"> </w:t>
      </w:r>
      <w:r w:rsidRPr="0060123C">
        <w:rPr>
          <w:rFonts w:ascii="Verdana" w:hAnsi="Verdana"/>
          <w:color w:val="000000" w:themeColor="text1"/>
          <w:sz w:val="20"/>
          <w:szCs w:val="20"/>
        </w:rPr>
        <w:t>“</w:t>
      </w:r>
      <w:r w:rsidR="00F0263F" w:rsidRPr="0060123C">
        <w:rPr>
          <w:rFonts w:ascii="Verdana" w:hAnsi="Verdana"/>
          <w:color w:val="000000" w:themeColor="text1"/>
          <w:sz w:val="20"/>
          <w:szCs w:val="20"/>
        </w:rPr>
        <w:t>no es una desnaturalización de lo ordenado por la Corte</w:t>
      </w:r>
      <w:r w:rsidRPr="0060123C">
        <w:rPr>
          <w:rFonts w:ascii="Verdana" w:hAnsi="Verdana"/>
          <w:color w:val="000000" w:themeColor="text1"/>
          <w:sz w:val="20"/>
          <w:szCs w:val="20"/>
        </w:rPr>
        <w:t xml:space="preserve"> […]</w:t>
      </w:r>
      <w:r w:rsidR="00F0263F" w:rsidRPr="0060123C">
        <w:rPr>
          <w:rFonts w:ascii="Verdana" w:hAnsi="Verdana"/>
          <w:color w:val="000000" w:themeColor="text1"/>
          <w:sz w:val="20"/>
          <w:szCs w:val="20"/>
        </w:rPr>
        <w:t xml:space="preserve"> adaptar los pagos […] a los procedimientos vigentes para el pago de Sentencias”</w:t>
      </w:r>
      <w:r w:rsidR="00F0263F" w:rsidRPr="0060123C">
        <w:rPr>
          <w:rStyle w:val="Refdenotaalpie"/>
          <w:rFonts w:ascii="Verdana" w:hAnsi="Verdana"/>
          <w:color w:val="000000" w:themeColor="text1"/>
          <w:sz w:val="20"/>
          <w:szCs w:val="20"/>
        </w:rPr>
        <w:footnoteReference w:id="21"/>
      </w:r>
      <w:r w:rsidR="00F0263F" w:rsidRPr="0060123C">
        <w:rPr>
          <w:rFonts w:ascii="Verdana" w:hAnsi="Verdana"/>
          <w:color w:val="000000" w:themeColor="text1"/>
          <w:sz w:val="20"/>
          <w:szCs w:val="20"/>
        </w:rPr>
        <w:t>.</w:t>
      </w:r>
    </w:p>
    <w:p w14:paraId="1AF39B57" w14:textId="247019CE" w:rsidR="00233BB3" w:rsidRPr="0060123C" w:rsidRDefault="00233BB3" w:rsidP="00233BB3">
      <w:pPr>
        <w:pStyle w:val="Prrafodelista"/>
        <w:numPr>
          <w:ilvl w:val="0"/>
          <w:numId w:val="5"/>
        </w:numPr>
        <w:spacing w:before="120" w:after="120"/>
        <w:ind w:left="0" w:firstLine="0"/>
        <w:jc w:val="both"/>
        <w:rPr>
          <w:rFonts w:ascii="Verdana" w:hAnsi="Verdana"/>
          <w:sz w:val="20"/>
          <w:szCs w:val="20"/>
        </w:rPr>
      </w:pPr>
      <w:r w:rsidRPr="0060123C">
        <w:rPr>
          <w:rFonts w:ascii="Verdana" w:hAnsi="Verdana"/>
          <w:sz w:val="20"/>
          <w:szCs w:val="20"/>
        </w:rPr>
        <w:t xml:space="preserve">Adicionalmente, en </w:t>
      </w:r>
      <w:r w:rsidRPr="0060123C">
        <w:rPr>
          <w:rFonts w:ascii="Verdana" w:hAnsi="Verdana"/>
          <w:color w:val="000000" w:themeColor="text1"/>
          <w:sz w:val="20"/>
          <w:szCs w:val="20"/>
        </w:rPr>
        <w:t xml:space="preserve">el </w:t>
      </w:r>
      <w:r w:rsidRPr="0060123C">
        <w:rPr>
          <w:rFonts w:ascii="Verdana" w:hAnsi="Verdana"/>
          <w:i/>
          <w:iCs/>
          <w:color w:val="000000" w:themeColor="text1"/>
          <w:sz w:val="20"/>
          <w:szCs w:val="20"/>
        </w:rPr>
        <w:t>Caso Canales Huapaya</w:t>
      </w:r>
      <w:r w:rsidR="004C6C76" w:rsidRPr="0060123C">
        <w:rPr>
          <w:rFonts w:ascii="Verdana" w:hAnsi="Verdana"/>
          <w:i/>
          <w:iCs/>
          <w:color w:val="000000" w:themeColor="text1"/>
          <w:sz w:val="20"/>
          <w:szCs w:val="20"/>
        </w:rPr>
        <w:t xml:space="preserve"> y otros</w:t>
      </w:r>
      <w:r w:rsidRPr="0060123C">
        <w:rPr>
          <w:rFonts w:ascii="Verdana" w:hAnsi="Verdana"/>
          <w:sz w:val="20"/>
          <w:szCs w:val="20"/>
        </w:rPr>
        <w:t>, los representantes de</w:t>
      </w:r>
      <w:r w:rsidRPr="0060123C">
        <w:rPr>
          <w:rFonts w:ascii="Verdana" w:hAnsi="Verdana"/>
          <w:color w:val="000000" w:themeColor="text1"/>
          <w:sz w:val="20"/>
          <w:szCs w:val="20"/>
        </w:rPr>
        <w:t xml:space="preserve"> la señora </w:t>
      </w:r>
      <w:r w:rsidRPr="0060123C">
        <w:rPr>
          <w:rFonts w:ascii="Verdana" w:hAnsi="Verdana"/>
          <w:sz w:val="20"/>
          <w:szCs w:val="20"/>
        </w:rPr>
        <w:t>María Gracia Barriga Oré</w:t>
      </w:r>
      <w:r w:rsidRPr="0060123C">
        <w:rPr>
          <w:rFonts w:ascii="Verdana" w:hAnsi="Verdana"/>
          <w:color w:val="000000" w:themeColor="text1"/>
          <w:sz w:val="20"/>
          <w:szCs w:val="20"/>
        </w:rPr>
        <w:t xml:space="preserve">, víctima del caso, </w:t>
      </w:r>
      <w:r w:rsidRPr="0060123C">
        <w:rPr>
          <w:rFonts w:ascii="Verdana" w:hAnsi="Verdana"/>
          <w:sz w:val="20"/>
          <w:szCs w:val="20"/>
        </w:rPr>
        <w:t xml:space="preserve">advirtieron que paralelamente a la información presentada por el Estado, “las víctimas envejecen, adolecen, </w:t>
      </w:r>
      <w:r w:rsidR="004C6C76" w:rsidRPr="0060123C">
        <w:rPr>
          <w:rFonts w:ascii="Verdana" w:hAnsi="Verdana"/>
          <w:sz w:val="20"/>
          <w:szCs w:val="20"/>
        </w:rPr>
        <w:t>e</w:t>
      </w:r>
      <w:r w:rsidRPr="0060123C">
        <w:rPr>
          <w:rFonts w:ascii="Verdana" w:hAnsi="Verdana"/>
          <w:sz w:val="20"/>
          <w:szCs w:val="20"/>
        </w:rPr>
        <w:t>, incluso, mueren”.</w:t>
      </w:r>
      <w:r w:rsidRPr="0060123C">
        <w:rPr>
          <w:rFonts w:ascii="Verdana" w:hAnsi="Verdana"/>
          <w:b/>
          <w:bCs/>
          <w:sz w:val="20"/>
          <w:szCs w:val="20"/>
        </w:rPr>
        <w:t xml:space="preserve"> </w:t>
      </w:r>
      <w:r w:rsidRPr="0060123C">
        <w:rPr>
          <w:rFonts w:ascii="Verdana" w:hAnsi="Verdana"/>
          <w:color w:val="000000" w:themeColor="text1"/>
          <w:sz w:val="20"/>
          <w:szCs w:val="20"/>
        </w:rPr>
        <w:t>Por su parte, los representantes de</w:t>
      </w:r>
      <w:r w:rsidR="004C6C76" w:rsidRPr="0060123C">
        <w:rPr>
          <w:rFonts w:ascii="Verdana" w:hAnsi="Verdana"/>
          <w:color w:val="000000" w:themeColor="text1"/>
          <w:sz w:val="20"/>
          <w:szCs w:val="20"/>
        </w:rPr>
        <w:t xml:space="preserve"> la víctima </w:t>
      </w:r>
      <w:r w:rsidRPr="0060123C">
        <w:rPr>
          <w:rFonts w:ascii="Verdana" w:hAnsi="Verdana"/>
          <w:color w:val="000000" w:themeColor="text1"/>
          <w:sz w:val="20"/>
          <w:szCs w:val="20"/>
        </w:rPr>
        <w:t>José Castro Ballena, solicitaron que el Estado “[c]</w:t>
      </w:r>
      <w:proofErr w:type="spellStart"/>
      <w:r w:rsidRPr="0060123C">
        <w:rPr>
          <w:rFonts w:ascii="Verdana" w:hAnsi="Verdana"/>
          <w:color w:val="000000" w:themeColor="text1"/>
          <w:sz w:val="20"/>
          <w:szCs w:val="20"/>
        </w:rPr>
        <w:t>umpla</w:t>
      </w:r>
      <w:proofErr w:type="spellEnd"/>
      <w:r w:rsidRPr="0060123C">
        <w:rPr>
          <w:rFonts w:ascii="Verdana" w:hAnsi="Verdana"/>
          <w:color w:val="000000" w:themeColor="text1"/>
          <w:sz w:val="20"/>
          <w:szCs w:val="20"/>
        </w:rPr>
        <w:t xml:space="preserve"> con ejecutar lo antes posible la </w:t>
      </w:r>
      <w:r w:rsidR="00D645EE">
        <w:rPr>
          <w:rFonts w:ascii="Verdana" w:hAnsi="Verdana"/>
          <w:color w:val="000000" w:themeColor="text1"/>
          <w:sz w:val="20"/>
          <w:szCs w:val="20"/>
        </w:rPr>
        <w:t>s</w:t>
      </w:r>
      <w:r w:rsidRPr="0060123C">
        <w:rPr>
          <w:rFonts w:ascii="Verdana" w:hAnsi="Verdana"/>
          <w:color w:val="000000" w:themeColor="text1"/>
          <w:sz w:val="20"/>
          <w:szCs w:val="20"/>
        </w:rPr>
        <w:t xml:space="preserve">entencia” a fin de que “el señor Castro pueda humanitariamente atender los gastos que genera la enfermedad de su esposa y su deteriorada salud que él atraviesa”. </w:t>
      </w:r>
      <w:r w:rsidRPr="0060123C">
        <w:rPr>
          <w:rFonts w:ascii="Verdana" w:hAnsi="Verdana"/>
          <w:sz w:val="20"/>
          <w:szCs w:val="20"/>
        </w:rPr>
        <w:t xml:space="preserve">Asimismo, la señora Rosa Elvira Sánchez </w:t>
      </w:r>
      <w:proofErr w:type="spellStart"/>
      <w:r w:rsidRPr="0060123C">
        <w:rPr>
          <w:rFonts w:ascii="Verdana" w:hAnsi="Verdana"/>
          <w:sz w:val="20"/>
          <w:szCs w:val="20"/>
        </w:rPr>
        <w:t>Saenz</w:t>
      </w:r>
      <w:proofErr w:type="spellEnd"/>
      <w:r w:rsidRPr="0060123C">
        <w:rPr>
          <w:rFonts w:ascii="Verdana" w:hAnsi="Verdana"/>
          <w:sz w:val="20"/>
          <w:szCs w:val="20"/>
        </w:rPr>
        <w:t>, viuda de</w:t>
      </w:r>
      <w:r w:rsidR="00D645EE">
        <w:rPr>
          <w:rFonts w:ascii="Verdana" w:hAnsi="Verdana"/>
          <w:sz w:val="20"/>
          <w:szCs w:val="20"/>
        </w:rPr>
        <w:t xml:space="preserve"> la víctima </w:t>
      </w:r>
      <w:r w:rsidRPr="0060123C">
        <w:rPr>
          <w:rFonts w:ascii="Verdana" w:hAnsi="Verdana"/>
          <w:sz w:val="20"/>
          <w:szCs w:val="20"/>
        </w:rPr>
        <w:t>Alberto Canales Huapaya</w:t>
      </w:r>
      <w:r w:rsidRPr="0060123C">
        <w:rPr>
          <w:rFonts w:ascii="Verdana" w:hAnsi="Verdana"/>
          <w:color w:val="000000" w:themeColor="text1"/>
          <w:sz w:val="20"/>
          <w:szCs w:val="20"/>
        </w:rPr>
        <w:t xml:space="preserve">, </w:t>
      </w:r>
      <w:r w:rsidRPr="0060123C">
        <w:rPr>
          <w:rFonts w:ascii="Verdana" w:hAnsi="Verdana"/>
          <w:sz w:val="20"/>
          <w:szCs w:val="20"/>
        </w:rPr>
        <w:t xml:space="preserve">resaltó que han pasado cinco años </w:t>
      </w:r>
      <w:r w:rsidR="00D645EE">
        <w:rPr>
          <w:rFonts w:ascii="Verdana" w:hAnsi="Verdana"/>
          <w:sz w:val="20"/>
          <w:szCs w:val="20"/>
        </w:rPr>
        <w:t xml:space="preserve">desde </w:t>
      </w:r>
      <w:r w:rsidRPr="0060123C">
        <w:rPr>
          <w:rFonts w:ascii="Verdana" w:hAnsi="Verdana"/>
          <w:sz w:val="20"/>
          <w:szCs w:val="20"/>
        </w:rPr>
        <w:t>el fallecimiento de su esposo sin haber “recibido ninguna compensación” y que sufría de enfermedades y el deterioro en su salud sin “tener un soporte económico para asumir [tales] gastos”.</w:t>
      </w:r>
    </w:p>
    <w:p w14:paraId="3A0C7F0A" w14:textId="6B95554A" w:rsidR="00D40EE9" w:rsidRPr="0060123C" w:rsidRDefault="008F406C" w:rsidP="00D40EE9">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La</w:t>
      </w:r>
      <w:r w:rsidR="00D33B55" w:rsidRPr="0060123C">
        <w:rPr>
          <w:rFonts w:ascii="Verdana" w:hAnsi="Verdana"/>
          <w:color w:val="000000" w:themeColor="text1"/>
          <w:sz w:val="20"/>
          <w:szCs w:val="20"/>
        </w:rPr>
        <w:t xml:space="preserve"> Corte recuerda</w:t>
      </w:r>
      <w:r w:rsidR="00D33B55" w:rsidRPr="0060123C">
        <w:rPr>
          <w:rFonts w:ascii="Verdana" w:eastAsia="Times New Roman" w:hAnsi="Verdana"/>
          <w:color w:val="000000"/>
          <w:sz w:val="20"/>
          <w:szCs w:val="20"/>
          <w:lang w:val="es-CO"/>
        </w:rPr>
        <w:t xml:space="preserve"> que los </w:t>
      </w:r>
      <w:proofErr w:type="gramStart"/>
      <w:r w:rsidR="00D33B55" w:rsidRPr="0060123C">
        <w:rPr>
          <w:rFonts w:ascii="Verdana" w:eastAsia="Times New Roman" w:hAnsi="Verdana"/>
          <w:color w:val="000000"/>
          <w:sz w:val="20"/>
          <w:szCs w:val="20"/>
          <w:lang w:val="es-CO"/>
        </w:rPr>
        <w:t>Estados Partes</w:t>
      </w:r>
      <w:proofErr w:type="gramEnd"/>
      <w:r w:rsidR="00D33B55" w:rsidRPr="0060123C">
        <w:rPr>
          <w:rFonts w:ascii="Verdana" w:eastAsia="Times New Roman" w:hAnsi="Verdana"/>
          <w:color w:val="000000"/>
          <w:sz w:val="20"/>
          <w:szCs w:val="20"/>
          <w:lang w:val="es-CO"/>
        </w:rPr>
        <w:t xml:space="preserve"> de la Convención Americana tienen la obligación convencional de implementar tanto a nivel internacional como interno y </w:t>
      </w:r>
      <w:r w:rsidR="00D33B55" w:rsidRPr="0060123C">
        <w:rPr>
          <w:rFonts w:ascii="Verdana" w:eastAsia="Times New Roman" w:hAnsi="Verdana"/>
          <w:color w:val="000000"/>
          <w:sz w:val="20"/>
          <w:szCs w:val="20"/>
        </w:rPr>
        <w:t xml:space="preserve">de forma pronta e íntegra, lo </w:t>
      </w:r>
      <w:r w:rsidR="00D33B55" w:rsidRPr="0060123C">
        <w:rPr>
          <w:rFonts w:ascii="Verdana" w:eastAsia="Times New Roman" w:hAnsi="Verdana"/>
          <w:color w:val="000000"/>
          <w:sz w:val="20"/>
          <w:szCs w:val="20"/>
          <w:lang w:val="es-CO"/>
        </w:rPr>
        <w:t>dispuesto por el Tribunal en las Sentencias que a ellos conciernan, obligación que, como lo señala el derecho internacional consuetudinario y lo ha recordado la Corte, vincula a todos los poderes y órganos estatales</w:t>
      </w:r>
      <w:r w:rsidR="00D33B55" w:rsidRPr="0060123C">
        <w:rPr>
          <w:rFonts w:ascii="Verdana" w:hAnsi="Verdana" w:cs="Verdana"/>
          <w:sz w:val="20"/>
          <w:szCs w:val="20"/>
          <w:vertAlign w:val="superscript"/>
        </w:rPr>
        <w:footnoteReference w:id="22"/>
      </w:r>
      <w:r w:rsidR="00FF309B" w:rsidRPr="0060123C">
        <w:rPr>
          <w:rFonts w:ascii="Verdana" w:eastAsia="Calibri" w:hAnsi="Verdana" w:cs="Cambria"/>
          <w:sz w:val="20"/>
          <w:szCs w:val="20"/>
          <w:lang w:eastAsia="es-CR"/>
        </w:rPr>
        <w:t>, y de no cumplirse se incurre en un ilícito internacional</w:t>
      </w:r>
      <w:r w:rsidR="00FF309B" w:rsidRPr="0060123C">
        <w:rPr>
          <w:rStyle w:val="Refdenotaalpie"/>
          <w:rFonts w:ascii="Verdana" w:eastAsia="Calibri" w:hAnsi="Verdana" w:cs="Cambria"/>
          <w:sz w:val="20"/>
          <w:szCs w:val="20"/>
          <w:lang w:eastAsia="es-CR"/>
        </w:rPr>
        <w:footnoteReference w:id="23"/>
      </w:r>
      <w:r w:rsidR="00D33B55" w:rsidRPr="0060123C">
        <w:rPr>
          <w:rFonts w:ascii="Verdana" w:eastAsia="Times New Roman" w:hAnsi="Verdana"/>
          <w:color w:val="000000"/>
          <w:sz w:val="20"/>
          <w:szCs w:val="20"/>
        </w:rPr>
        <w:t>.</w:t>
      </w:r>
      <w:r w:rsidR="000D752C" w:rsidRPr="0060123C">
        <w:rPr>
          <w:rFonts w:ascii="Verdana" w:hAnsi="Verdana"/>
          <w:color w:val="000000" w:themeColor="text1"/>
          <w:sz w:val="20"/>
          <w:szCs w:val="20"/>
        </w:rPr>
        <w:t xml:space="preserve"> </w:t>
      </w:r>
      <w:r w:rsidR="00D33B55" w:rsidRPr="0060123C">
        <w:rPr>
          <w:rFonts w:ascii="Verdana" w:hAnsi="Verdana"/>
          <w:color w:val="000000" w:themeColor="text1"/>
          <w:sz w:val="20"/>
          <w:szCs w:val="20"/>
        </w:rPr>
        <w:t>L</w:t>
      </w:r>
      <w:r w:rsidR="00BF2B96" w:rsidRPr="0060123C">
        <w:rPr>
          <w:rFonts w:ascii="Verdana" w:hAnsi="Verdana"/>
          <w:sz w:val="20"/>
          <w:szCs w:val="20"/>
        </w:rPr>
        <w:t>a obligación de cumplir lo dispuesto en las decisiones del Tribunal corresponde a un principio básico del derecho sobre la responsabilidad internacional del Estado, respaldado por la jurisprudencia internacional, según el cual los Estados deben cumplir sus obligaciones convencionales internacionales de buena fe (</w:t>
      </w:r>
      <w:r w:rsidR="00BF2B96" w:rsidRPr="0060123C">
        <w:rPr>
          <w:rFonts w:ascii="Verdana" w:hAnsi="Verdana"/>
          <w:i/>
          <w:sz w:val="20"/>
          <w:szCs w:val="20"/>
        </w:rPr>
        <w:t xml:space="preserve">pacta sunt </w:t>
      </w:r>
      <w:proofErr w:type="spellStart"/>
      <w:r w:rsidR="00BF2B96" w:rsidRPr="0060123C">
        <w:rPr>
          <w:rFonts w:ascii="Verdana" w:hAnsi="Verdana"/>
          <w:i/>
          <w:sz w:val="20"/>
          <w:szCs w:val="20"/>
        </w:rPr>
        <w:t>servanda</w:t>
      </w:r>
      <w:proofErr w:type="spellEnd"/>
      <w:r w:rsidR="00BF2B96" w:rsidRPr="0060123C">
        <w:rPr>
          <w:rFonts w:ascii="Verdana" w:hAnsi="Verdana"/>
          <w:sz w:val="20"/>
          <w:szCs w:val="20"/>
        </w:rPr>
        <w:t>) y, como ya ha señalado este Tribunal y lo dispone el artículo 27 de la Convención de Viena sobre el Derecho de los Tratados de 1969, los Estados “no pueden por razones de orden interno dejar de asumir la responsabilidad internacional ya establecida”</w:t>
      </w:r>
      <w:r w:rsidR="00BF2B96" w:rsidRPr="0060123C">
        <w:rPr>
          <w:rStyle w:val="Refdenotaalpie"/>
          <w:rFonts w:ascii="Verdana" w:hAnsi="Verdana"/>
          <w:sz w:val="20"/>
          <w:szCs w:val="20"/>
        </w:rPr>
        <w:footnoteReference w:id="24"/>
      </w:r>
      <w:r w:rsidR="00BF2B96" w:rsidRPr="0060123C">
        <w:rPr>
          <w:rFonts w:ascii="Verdana" w:hAnsi="Verdana"/>
          <w:sz w:val="20"/>
          <w:szCs w:val="20"/>
        </w:rPr>
        <w:t>.</w:t>
      </w:r>
    </w:p>
    <w:p w14:paraId="11471DBD" w14:textId="425255C3" w:rsidR="00A76E4F" w:rsidRPr="0060123C" w:rsidRDefault="0027198B" w:rsidP="0027198B">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lastRenderedPageBreak/>
        <w:t xml:space="preserve">La Corte destaca que en los referidos cinco casos ha habido un avance sustancial en el cumplimiento de las reparaciones ordenadas, quedando pendiente únicamente el pago de indemnizaciones y reintegro de costas y gastos. Al respecto, la Corte nota con preocupación que el tiempo transcurrido desde que vencieron los plazos para el cumplimiento de estas reparaciones resulta excesivo, </w:t>
      </w:r>
      <w:r w:rsidR="00E20E69" w:rsidRPr="0060123C">
        <w:rPr>
          <w:rFonts w:ascii="Verdana" w:hAnsi="Verdana"/>
          <w:color w:val="000000" w:themeColor="text1"/>
          <w:sz w:val="20"/>
          <w:szCs w:val="20"/>
        </w:rPr>
        <w:t xml:space="preserve">siendo </w:t>
      </w:r>
      <w:r w:rsidR="008A389C" w:rsidRPr="0060123C">
        <w:rPr>
          <w:rFonts w:ascii="Verdana" w:hAnsi="Verdana"/>
          <w:color w:val="000000" w:themeColor="text1"/>
          <w:sz w:val="20"/>
          <w:szCs w:val="20"/>
        </w:rPr>
        <w:t xml:space="preserve">más de seis años </w:t>
      </w:r>
      <w:r w:rsidR="008A389C" w:rsidRPr="0060123C">
        <w:rPr>
          <w:rFonts w:ascii="Verdana" w:hAnsi="Verdana"/>
          <w:sz w:val="20"/>
          <w:szCs w:val="20"/>
        </w:rPr>
        <w:t xml:space="preserve">en el caso </w:t>
      </w:r>
      <w:r w:rsidR="008A389C" w:rsidRPr="0060123C">
        <w:rPr>
          <w:rFonts w:ascii="Verdana" w:hAnsi="Verdana"/>
          <w:i/>
          <w:iCs/>
          <w:sz w:val="20"/>
          <w:szCs w:val="20"/>
        </w:rPr>
        <w:t>Tarazona Arrieta y otros</w:t>
      </w:r>
      <w:r w:rsidR="008A389C" w:rsidRPr="0060123C">
        <w:rPr>
          <w:rFonts w:ascii="Verdana" w:hAnsi="Verdana"/>
          <w:color w:val="000000" w:themeColor="text1"/>
          <w:sz w:val="20"/>
          <w:szCs w:val="20"/>
        </w:rPr>
        <w:t xml:space="preserve">, más de cinco años </w:t>
      </w:r>
      <w:r w:rsidR="008A389C" w:rsidRPr="0060123C">
        <w:rPr>
          <w:rFonts w:ascii="Verdana" w:hAnsi="Verdana"/>
          <w:sz w:val="20"/>
          <w:szCs w:val="20"/>
        </w:rPr>
        <w:t xml:space="preserve">en los casos </w:t>
      </w:r>
      <w:r w:rsidR="008A389C" w:rsidRPr="0060123C">
        <w:rPr>
          <w:rFonts w:ascii="Verdana" w:hAnsi="Verdana"/>
          <w:i/>
          <w:iCs/>
          <w:sz w:val="20"/>
          <w:szCs w:val="20"/>
        </w:rPr>
        <w:t xml:space="preserve">Wong Ho </w:t>
      </w:r>
      <w:proofErr w:type="spellStart"/>
      <w:r w:rsidR="008A389C" w:rsidRPr="0060123C">
        <w:rPr>
          <w:rFonts w:ascii="Verdana" w:hAnsi="Verdana"/>
          <w:i/>
          <w:iCs/>
          <w:sz w:val="20"/>
          <w:szCs w:val="20"/>
        </w:rPr>
        <w:t>Wing</w:t>
      </w:r>
      <w:proofErr w:type="spellEnd"/>
      <w:r w:rsidR="008A389C" w:rsidRPr="0060123C">
        <w:rPr>
          <w:rFonts w:ascii="Verdana" w:hAnsi="Verdana"/>
          <w:i/>
          <w:iCs/>
          <w:sz w:val="20"/>
          <w:szCs w:val="20"/>
        </w:rPr>
        <w:t xml:space="preserve"> y Canales Huapaya y otros</w:t>
      </w:r>
      <w:r w:rsidR="008A389C" w:rsidRPr="0060123C">
        <w:rPr>
          <w:rFonts w:ascii="Verdana" w:hAnsi="Verdana"/>
          <w:sz w:val="20"/>
          <w:szCs w:val="20"/>
        </w:rPr>
        <w:t xml:space="preserve">, </w:t>
      </w:r>
      <w:r w:rsidR="008A389C" w:rsidRPr="0060123C">
        <w:rPr>
          <w:rFonts w:ascii="Verdana" w:hAnsi="Verdana"/>
          <w:color w:val="000000" w:themeColor="text1"/>
          <w:sz w:val="20"/>
          <w:szCs w:val="20"/>
        </w:rPr>
        <w:t xml:space="preserve">y más de tres años </w:t>
      </w:r>
      <w:r w:rsidR="008A389C" w:rsidRPr="0060123C">
        <w:rPr>
          <w:rFonts w:ascii="Verdana" w:hAnsi="Verdana"/>
          <w:sz w:val="20"/>
          <w:szCs w:val="20"/>
        </w:rPr>
        <w:t xml:space="preserve">en los casos </w:t>
      </w:r>
      <w:r w:rsidR="008A389C" w:rsidRPr="0060123C">
        <w:rPr>
          <w:rFonts w:ascii="Verdana" w:hAnsi="Verdana"/>
          <w:i/>
          <w:iCs/>
          <w:sz w:val="20"/>
          <w:szCs w:val="20"/>
        </w:rPr>
        <w:t>Zegarra Marín</w:t>
      </w:r>
      <w:r w:rsidR="008A389C" w:rsidRPr="0060123C">
        <w:rPr>
          <w:rFonts w:ascii="Verdana" w:hAnsi="Verdana"/>
          <w:sz w:val="20"/>
          <w:szCs w:val="20"/>
        </w:rPr>
        <w:t xml:space="preserve"> y </w:t>
      </w:r>
      <w:r w:rsidR="008A389C" w:rsidRPr="0060123C">
        <w:rPr>
          <w:rFonts w:ascii="Verdana" w:hAnsi="Verdana"/>
          <w:i/>
          <w:iCs/>
          <w:sz w:val="20"/>
          <w:szCs w:val="20"/>
        </w:rPr>
        <w:t>Lagos del Campo</w:t>
      </w:r>
      <w:r w:rsidR="00E20E69" w:rsidRPr="0060123C">
        <w:rPr>
          <w:rFonts w:ascii="Verdana" w:hAnsi="Verdana"/>
          <w:i/>
          <w:iCs/>
          <w:sz w:val="20"/>
          <w:szCs w:val="20"/>
        </w:rPr>
        <w:t xml:space="preserve"> </w:t>
      </w:r>
      <w:r w:rsidR="008A389C" w:rsidRPr="0060123C">
        <w:rPr>
          <w:rFonts w:ascii="Verdana" w:hAnsi="Verdana"/>
          <w:color w:val="000000" w:themeColor="text1"/>
          <w:sz w:val="20"/>
          <w:szCs w:val="20"/>
        </w:rPr>
        <w:t>(</w:t>
      </w:r>
      <w:r w:rsidR="008A389C" w:rsidRPr="0060123C">
        <w:rPr>
          <w:rFonts w:ascii="Verdana" w:hAnsi="Verdana"/>
          <w:i/>
          <w:iCs/>
          <w:color w:val="000000" w:themeColor="text1"/>
          <w:sz w:val="20"/>
          <w:szCs w:val="20"/>
        </w:rPr>
        <w:t>supra</w:t>
      </w:r>
      <w:r w:rsidR="008A389C" w:rsidRPr="0060123C">
        <w:rPr>
          <w:rFonts w:ascii="Verdana" w:hAnsi="Verdana"/>
          <w:color w:val="000000" w:themeColor="text1"/>
          <w:sz w:val="20"/>
          <w:szCs w:val="20"/>
        </w:rPr>
        <w:t xml:space="preserve"> Considerando </w:t>
      </w:r>
      <w:r w:rsidR="00932DCE" w:rsidRPr="0060123C">
        <w:rPr>
          <w:rFonts w:ascii="Verdana" w:hAnsi="Verdana"/>
          <w:color w:val="000000" w:themeColor="text1"/>
          <w:sz w:val="20"/>
          <w:szCs w:val="20"/>
        </w:rPr>
        <w:t>4</w:t>
      </w:r>
      <w:r w:rsidR="008A389C" w:rsidRPr="0060123C">
        <w:rPr>
          <w:rFonts w:ascii="Verdana" w:hAnsi="Verdana"/>
          <w:color w:val="000000" w:themeColor="text1"/>
          <w:sz w:val="20"/>
          <w:szCs w:val="20"/>
        </w:rPr>
        <w:t xml:space="preserve">). </w:t>
      </w:r>
      <w:r w:rsidR="00E20E69" w:rsidRPr="0060123C">
        <w:rPr>
          <w:rFonts w:ascii="Verdana" w:hAnsi="Verdana"/>
          <w:color w:val="000000" w:themeColor="text1"/>
          <w:sz w:val="20"/>
          <w:szCs w:val="20"/>
        </w:rPr>
        <w:t>Aun cuando</w:t>
      </w:r>
      <w:r w:rsidR="008A389C" w:rsidRPr="0060123C">
        <w:rPr>
          <w:rFonts w:ascii="Verdana" w:hAnsi="Verdana"/>
          <w:color w:val="000000" w:themeColor="text1"/>
          <w:sz w:val="20"/>
          <w:szCs w:val="20"/>
        </w:rPr>
        <w:t xml:space="preserve"> es razonable que pudieran llegar a existir trámites internos para cumplir con las medidas de reparación ordenadas, el referido retraso resulta excesivo, dado que </w:t>
      </w:r>
      <w:r w:rsidR="005F15EF" w:rsidRPr="0060123C">
        <w:rPr>
          <w:rFonts w:ascii="Verdana" w:hAnsi="Verdana"/>
          <w:color w:val="000000" w:themeColor="text1"/>
          <w:sz w:val="20"/>
          <w:szCs w:val="20"/>
        </w:rPr>
        <w:t xml:space="preserve">se </w:t>
      </w:r>
      <w:r w:rsidR="008A389C" w:rsidRPr="0060123C">
        <w:rPr>
          <w:rFonts w:ascii="Verdana" w:hAnsi="Verdana"/>
          <w:color w:val="000000" w:themeColor="text1"/>
          <w:sz w:val="20"/>
          <w:szCs w:val="20"/>
        </w:rPr>
        <w:t xml:space="preserve">trata de medidas cuya ejecución no es compleja. Particularmente, la Corte nota que las dificultades alegadas por el Estado </w:t>
      </w:r>
      <w:r w:rsidR="00F82E6B" w:rsidRPr="0060123C">
        <w:rPr>
          <w:rFonts w:ascii="Verdana" w:hAnsi="Verdana"/>
          <w:color w:val="000000" w:themeColor="text1"/>
          <w:sz w:val="20"/>
          <w:szCs w:val="20"/>
        </w:rPr>
        <w:t xml:space="preserve">sobre una restructuración interna y </w:t>
      </w:r>
      <w:r w:rsidR="001B417B" w:rsidRPr="0060123C">
        <w:rPr>
          <w:rFonts w:ascii="Verdana" w:hAnsi="Verdana"/>
          <w:color w:val="000000" w:themeColor="text1"/>
          <w:sz w:val="20"/>
          <w:szCs w:val="20"/>
        </w:rPr>
        <w:t>la pandemia C</w:t>
      </w:r>
      <w:r w:rsidR="005F15EF" w:rsidRPr="0060123C">
        <w:rPr>
          <w:rFonts w:ascii="Verdana" w:hAnsi="Verdana"/>
          <w:color w:val="000000" w:themeColor="text1"/>
          <w:sz w:val="20"/>
          <w:szCs w:val="20"/>
        </w:rPr>
        <w:t>OVID</w:t>
      </w:r>
      <w:r w:rsidR="001B417B" w:rsidRPr="0060123C">
        <w:rPr>
          <w:rFonts w:ascii="Verdana" w:hAnsi="Verdana"/>
          <w:color w:val="000000" w:themeColor="text1"/>
          <w:sz w:val="20"/>
          <w:szCs w:val="20"/>
        </w:rPr>
        <w:t xml:space="preserve">-19 </w:t>
      </w:r>
      <w:r w:rsidR="008A389C" w:rsidRPr="0060123C">
        <w:rPr>
          <w:rFonts w:ascii="Verdana" w:hAnsi="Verdana"/>
          <w:color w:val="000000" w:themeColor="text1"/>
          <w:sz w:val="20"/>
          <w:szCs w:val="20"/>
        </w:rPr>
        <w:t>(</w:t>
      </w:r>
      <w:r w:rsidR="008A389C" w:rsidRPr="0060123C">
        <w:rPr>
          <w:rFonts w:ascii="Verdana" w:hAnsi="Verdana"/>
          <w:i/>
          <w:iCs/>
          <w:color w:val="000000" w:themeColor="text1"/>
          <w:sz w:val="20"/>
          <w:szCs w:val="20"/>
        </w:rPr>
        <w:t>supra</w:t>
      </w:r>
      <w:r w:rsidR="008A389C" w:rsidRPr="0060123C">
        <w:rPr>
          <w:rFonts w:ascii="Verdana" w:hAnsi="Verdana"/>
          <w:color w:val="000000" w:themeColor="text1"/>
          <w:sz w:val="20"/>
          <w:szCs w:val="20"/>
        </w:rPr>
        <w:t xml:space="preserve"> Considerando </w:t>
      </w:r>
      <w:r w:rsidR="00932DCE" w:rsidRPr="0060123C">
        <w:rPr>
          <w:rFonts w:ascii="Verdana" w:hAnsi="Verdana"/>
          <w:color w:val="000000" w:themeColor="text1"/>
          <w:sz w:val="20"/>
          <w:szCs w:val="20"/>
        </w:rPr>
        <w:t>10</w:t>
      </w:r>
      <w:r w:rsidR="008A389C" w:rsidRPr="0060123C">
        <w:rPr>
          <w:rFonts w:ascii="Verdana" w:hAnsi="Verdana"/>
          <w:color w:val="000000" w:themeColor="text1"/>
          <w:sz w:val="20"/>
          <w:szCs w:val="20"/>
        </w:rPr>
        <w:t>)</w:t>
      </w:r>
      <w:r w:rsidR="001B417B" w:rsidRPr="0060123C">
        <w:rPr>
          <w:rFonts w:ascii="Verdana" w:hAnsi="Verdana"/>
          <w:color w:val="000000" w:themeColor="text1"/>
          <w:sz w:val="20"/>
          <w:szCs w:val="20"/>
        </w:rPr>
        <w:t>,</w:t>
      </w:r>
      <w:r w:rsidR="008A389C" w:rsidRPr="0060123C">
        <w:rPr>
          <w:rFonts w:ascii="Verdana" w:hAnsi="Verdana"/>
          <w:color w:val="000000" w:themeColor="text1"/>
          <w:sz w:val="20"/>
          <w:szCs w:val="20"/>
        </w:rPr>
        <w:t xml:space="preserve"> se refieren a un período posterior al vencimiento de los plazos</w:t>
      </w:r>
      <w:r w:rsidR="00A645A3" w:rsidRPr="0060123C">
        <w:rPr>
          <w:rFonts w:ascii="Verdana" w:hAnsi="Verdana"/>
          <w:color w:val="000000" w:themeColor="text1"/>
          <w:sz w:val="20"/>
          <w:szCs w:val="20"/>
        </w:rPr>
        <w:t xml:space="preserve"> </w:t>
      </w:r>
      <w:r w:rsidR="008F1E1F" w:rsidRPr="0060123C">
        <w:rPr>
          <w:rFonts w:ascii="Verdana" w:hAnsi="Verdana"/>
          <w:color w:val="000000" w:themeColor="text1"/>
          <w:sz w:val="20"/>
          <w:szCs w:val="20"/>
        </w:rPr>
        <w:t>y</w:t>
      </w:r>
      <w:r w:rsidR="00A76E4F" w:rsidRPr="0060123C">
        <w:rPr>
          <w:rFonts w:ascii="Verdana" w:hAnsi="Verdana"/>
          <w:color w:val="000000" w:themeColor="text1"/>
          <w:sz w:val="20"/>
          <w:szCs w:val="20"/>
        </w:rPr>
        <w:t xml:space="preserve">, en lo que respecta a </w:t>
      </w:r>
      <w:r w:rsidR="00C65785" w:rsidRPr="0060123C">
        <w:rPr>
          <w:rFonts w:ascii="Verdana" w:hAnsi="Verdana"/>
          <w:color w:val="000000" w:themeColor="text1"/>
          <w:sz w:val="20"/>
          <w:szCs w:val="20"/>
        </w:rPr>
        <w:t>los ajustes al Aplicativo Informático del Ministerio de Economía y Finanzas</w:t>
      </w:r>
      <w:r w:rsidR="00A76E4F" w:rsidRPr="0060123C">
        <w:rPr>
          <w:rFonts w:ascii="Verdana" w:hAnsi="Verdana"/>
          <w:color w:val="000000" w:themeColor="text1"/>
          <w:sz w:val="20"/>
          <w:szCs w:val="20"/>
        </w:rPr>
        <w:t>, tardó casi un año para efectuarlos</w:t>
      </w:r>
      <w:r w:rsidR="003300E5" w:rsidRPr="0060123C">
        <w:rPr>
          <w:rFonts w:ascii="Verdana" w:hAnsi="Verdana"/>
          <w:color w:val="000000" w:themeColor="text1"/>
          <w:sz w:val="20"/>
          <w:szCs w:val="20"/>
        </w:rPr>
        <w:t xml:space="preserve"> </w:t>
      </w:r>
      <w:r w:rsidR="00F32C2C" w:rsidRPr="0060123C">
        <w:rPr>
          <w:rFonts w:ascii="Verdana" w:hAnsi="Verdana"/>
          <w:color w:val="000000" w:themeColor="text1"/>
          <w:sz w:val="20"/>
          <w:szCs w:val="20"/>
        </w:rPr>
        <w:t>(</w:t>
      </w:r>
      <w:r w:rsidR="00F32C2C" w:rsidRPr="0060123C">
        <w:rPr>
          <w:rFonts w:ascii="Verdana" w:hAnsi="Verdana"/>
          <w:i/>
          <w:iCs/>
          <w:color w:val="000000" w:themeColor="text1"/>
          <w:sz w:val="20"/>
          <w:szCs w:val="20"/>
        </w:rPr>
        <w:t>supra</w:t>
      </w:r>
      <w:r w:rsidR="00F32C2C" w:rsidRPr="0060123C">
        <w:rPr>
          <w:rFonts w:ascii="Verdana" w:hAnsi="Verdana"/>
          <w:color w:val="000000" w:themeColor="text1"/>
          <w:sz w:val="20"/>
          <w:szCs w:val="20"/>
        </w:rPr>
        <w:t xml:space="preserve"> Considerando </w:t>
      </w:r>
      <w:r w:rsidR="00932DCE" w:rsidRPr="0060123C">
        <w:rPr>
          <w:rFonts w:ascii="Verdana" w:hAnsi="Verdana"/>
          <w:color w:val="000000" w:themeColor="text1"/>
          <w:sz w:val="20"/>
          <w:szCs w:val="20"/>
        </w:rPr>
        <w:t>8</w:t>
      </w:r>
      <w:r w:rsidR="00F32C2C" w:rsidRPr="0060123C">
        <w:rPr>
          <w:rFonts w:ascii="Verdana" w:hAnsi="Verdana"/>
          <w:color w:val="000000" w:themeColor="text1"/>
          <w:sz w:val="20"/>
          <w:szCs w:val="20"/>
        </w:rPr>
        <w:t>)</w:t>
      </w:r>
      <w:r w:rsidR="008A389C" w:rsidRPr="0060123C">
        <w:rPr>
          <w:rFonts w:ascii="Verdana" w:hAnsi="Verdana"/>
          <w:color w:val="000000" w:themeColor="text1"/>
          <w:sz w:val="20"/>
          <w:szCs w:val="20"/>
        </w:rPr>
        <w:t>.</w:t>
      </w:r>
    </w:p>
    <w:p w14:paraId="05E2B371" w14:textId="3834BA54" w:rsidR="0000589E" w:rsidRPr="0060123C" w:rsidRDefault="008A389C" w:rsidP="00642232">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Más preocupante aún es que</w:t>
      </w:r>
      <w:r w:rsidR="009E33E6" w:rsidRPr="0060123C">
        <w:rPr>
          <w:rFonts w:ascii="Verdana" w:hAnsi="Verdana"/>
          <w:color w:val="000000" w:themeColor="text1"/>
          <w:sz w:val="20"/>
          <w:szCs w:val="20"/>
        </w:rPr>
        <w:t>,</w:t>
      </w:r>
      <w:r w:rsidRPr="0060123C">
        <w:rPr>
          <w:rFonts w:ascii="Verdana" w:hAnsi="Verdana"/>
          <w:color w:val="000000" w:themeColor="text1"/>
          <w:sz w:val="20"/>
          <w:szCs w:val="20"/>
        </w:rPr>
        <w:t xml:space="preserve"> </w:t>
      </w:r>
      <w:r w:rsidR="00A76E4F" w:rsidRPr="0060123C">
        <w:rPr>
          <w:rFonts w:ascii="Verdana" w:hAnsi="Verdana"/>
          <w:color w:val="000000" w:themeColor="text1"/>
          <w:sz w:val="20"/>
          <w:szCs w:val="20"/>
        </w:rPr>
        <w:t xml:space="preserve">tanto para estos cinco casos como para el cumplimiento del resto de </w:t>
      </w:r>
      <w:r w:rsidR="00932DCE" w:rsidRPr="0060123C">
        <w:rPr>
          <w:rFonts w:ascii="Verdana" w:hAnsi="Verdana"/>
          <w:color w:val="000000" w:themeColor="text1"/>
          <w:sz w:val="20"/>
          <w:szCs w:val="20"/>
        </w:rPr>
        <w:t>S</w:t>
      </w:r>
      <w:r w:rsidR="00A76E4F" w:rsidRPr="0060123C">
        <w:rPr>
          <w:rFonts w:ascii="Verdana" w:hAnsi="Verdana"/>
          <w:color w:val="000000" w:themeColor="text1"/>
          <w:sz w:val="20"/>
          <w:szCs w:val="20"/>
        </w:rPr>
        <w:t xml:space="preserve">entencias de casos peruanos, </w:t>
      </w:r>
      <w:r w:rsidRPr="0060123C">
        <w:rPr>
          <w:rFonts w:ascii="Verdana" w:hAnsi="Verdana"/>
          <w:color w:val="000000" w:themeColor="text1"/>
          <w:sz w:val="20"/>
          <w:szCs w:val="20"/>
        </w:rPr>
        <w:t xml:space="preserve">el Estado aplica una </w:t>
      </w:r>
      <w:r w:rsidR="008F1E1F" w:rsidRPr="0060123C">
        <w:rPr>
          <w:rFonts w:ascii="Verdana" w:hAnsi="Verdana"/>
          <w:color w:val="000000" w:themeColor="text1"/>
          <w:sz w:val="20"/>
          <w:szCs w:val="20"/>
        </w:rPr>
        <w:t>normativa interna</w:t>
      </w:r>
      <w:r w:rsidRPr="0060123C">
        <w:rPr>
          <w:rFonts w:ascii="Verdana" w:hAnsi="Verdana"/>
          <w:color w:val="000000" w:themeColor="text1"/>
          <w:sz w:val="20"/>
          <w:szCs w:val="20"/>
        </w:rPr>
        <w:t xml:space="preserve"> de </w:t>
      </w:r>
      <w:r w:rsidR="008F1E1F" w:rsidRPr="0060123C">
        <w:rPr>
          <w:rFonts w:ascii="Verdana" w:hAnsi="Verdana"/>
          <w:color w:val="000000" w:themeColor="text1"/>
          <w:sz w:val="20"/>
          <w:szCs w:val="20"/>
        </w:rPr>
        <w:t>“</w:t>
      </w:r>
      <w:r w:rsidRPr="0060123C">
        <w:rPr>
          <w:rFonts w:ascii="Verdana" w:hAnsi="Verdana"/>
          <w:color w:val="000000" w:themeColor="text1"/>
          <w:sz w:val="20"/>
          <w:szCs w:val="20"/>
        </w:rPr>
        <w:t>priorización</w:t>
      </w:r>
      <w:r w:rsidR="008F1E1F" w:rsidRPr="0060123C">
        <w:rPr>
          <w:rFonts w:ascii="Verdana" w:hAnsi="Verdana"/>
          <w:color w:val="000000" w:themeColor="text1"/>
          <w:sz w:val="20"/>
          <w:szCs w:val="20"/>
        </w:rPr>
        <w:t>”</w:t>
      </w:r>
      <w:r w:rsidRPr="0060123C">
        <w:rPr>
          <w:rFonts w:ascii="Verdana" w:hAnsi="Verdana"/>
          <w:color w:val="000000" w:themeColor="text1"/>
          <w:sz w:val="20"/>
          <w:szCs w:val="20"/>
        </w:rPr>
        <w:t xml:space="preserve"> de pagos</w:t>
      </w:r>
      <w:r w:rsidR="008F1E1F" w:rsidRPr="0060123C">
        <w:rPr>
          <w:rFonts w:ascii="Verdana" w:hAnsi="Verdana"/>
          <w:color w:val="000000" w:themeColor="text1"/>
          <w:sz w:val="20"/>
          <w:szCs w:val="20"/>
        </w:rPr>
        <w:t xml:space="preserve"> de sentencias judiciales</w:t>
      </w:r>
      <w:r w:rsidRPr="0060123C">
        <w:rPr>
          <w:rFonts w:ascii="Verdana" w:hAnsi="Verdana"/>
          <w:color w:val="000000" w:themeColor="text1"/>
          <w:sz w:val="20"/>
          <w:szCs w:val="20"/>
        </w:rPr>
        <w:t xml:space="preserve">, en </w:t>
      </w:r>
      <w:r w:rsidR="00A113BD" w:rsidRPr="0060123C">
        <w:rPr>
          <w:rFonts w:ascii="Verdana" w:hAnsi="Verdana"/>
          <w:color w:val="000000" w:themeColor="text1"/>
          <w:sz w:val="20"/>
          <w:szCs w:val="20"/>
        </w:rPr>
        <w:t>la</w:t>
      </w:r>
      <w:r w:rsidRPr="0060123C">
        <w:rPr>
          <w:rFonts w:ascii="Verdana" w:hAnsi="Verdana"/>
          <w:color w:val="000000" w:themeColor="text1"/>
          <w:sz w:val="20"/>
          <w:szCs w:val="20"/>
        </w:rPr>
        <w:t xml:space="preserve"> cual las </w:t>
      </w:r>
      <w:r w:rsidR="00932DCE" w:rsidRPr="0060123C">
        <w:rPr>
          <w:rFonts w:ascii="Verdana" w:hAnsi="Verdana"/>
          <w:color w:val="000000" w:themeColor="text1"/>
          <w:sz w:val="20"/>
          <w:szCs w:val="20"/>
        </w:rPr>
        <w:t>S</w:t>
      </w:r>
      <w:r w:rsidRPr="0060123C">
        <w:rPr>
          <w:rFonts w:ascii="Verdana" w:hAnsi="Verdana"/>
          <w:color w:val="000000" w:themeColor="text1"/>
          <w:sz w:val="20"/>
          <w:szCs w:val="20"/>
        </w:rPr>
        <w:t xml:space="preserve">entencias de </w:t>
      </w:r>
      <w:r w:rsidR="009E33E6" w:rsidRPr="0060123C">
        <w:rPr>
          <w:rFonts w:ascii="Verdana" w:hAnsi="Verdana"/>
          <w:color w:val="000000" w:themeColor="text1"/>
          <w:sz w:val="20"/>
          <w:szCs w:val="20"/>
        </w:rPr>
        <w:t xml:space="preserve">este </w:t>
      </w:r>
      <w:r w:rsidR="00DA3FF5" w:rsidRPr="0060123C">
        <w:rPr>
          <w:rFonts w:ascii="Verdana" w:hAnsi="Verdana"/>
          <w:color w:val="000000" w:themeColor="text1"/>
          <w:sz w:val="20"/>
          <w:szCs w:val="20"/>
        </w:rPr>
        <w:t>T</w:t>
      </w:r>
      <w:r w:rsidR="009E33E6" w:rsidRPr="0060123C">
        <w:rPr>
          <w:rFonts w:ascii="Verdana" w:hAnsi="Verdana"/>
          <w:color w:val="000000" w:themeColor="text1"/>
          <w:sz w:val="20"/>
          <w:szCs w:val="20"/>
        </w:rPr>
        <w:t xml:space="preserve">ribunal internacional de derechos humanos </w:t>
      </w:r>
      <w:r w:rsidRPr="0060123C">
        <w:rPr>
          <w:rFonts w:ascii="Verdana" w:hAnsi="Verdana"/>
          <w:color w:val="000000" w:themeColor="text1"/>
          <w:sz w:val="20"/>
          <w:szCs w:val="20"/>
        </w:rPr>
        <w:t>se encuentran en un tercer nivel</w:t>
      </w:r>
      <w:r w:rsidR="008F1E1F" w:rsidRPr="0060123C">
        <w:rPr>
          <w:rFonts w:ascii="Verdana" w:hAnsi="Verdana"/>
          <w:color w:val="000000" w:themeColor="text1"/>
          <w:sz w:val="20"/>
          <w:szCs w:val="20"/>
        </w:rPr>
        <w:t xml:space="preserve"> </w:t>
      </w:r>
      <w:r w:rsidR="00A76E4F" w:rsidRPr="0060123C">
        <w:rPr>
          <w:rFonts w:ascii="Verdana" w:hAnsi="Verdana"/>
          <w:color w:val="000000" w:themeColor="text1"/>
          <w:sz w:val="20"/>
          <w:szCs w:val="20"/>
        </w:rPr>
        <w:t>(</w:t>
      </w:r>
      <w:r w:rsidR="00A76E4F" w:rsidRPr="0060123C">
        <w:rPr>
          <w:rFonts w:ascii="Verdana" w:hAnsi="Verdana"/>
          <w:i/>
          <w:iCs/>
          <w:color w:val="000000" w:themeColor="text1"/>
          <w:sz w:val="20"/>
          <w:szCs w:val="20"/>
        </w:rPr>
        <w:t>supra</w:t>
      </w:r>
      <w:r w:rsidR="00A76E4F" w:rsidRPr="0060123C">
        <w:rPr>
          <w:rFonts w:ascii="Verdana" w:hAnsi="Verdana"/>
          <w:color w:val="000000" w:themeColor="text1"/>
          <w:sz w:val="20"/>
          <w:szCs w:val="20"/>
        </w:rPr>
        <w:t xml:space="preserve"> </w:t>
      </w:r>
      <w:r w:rsidR="009524A9" w:rsidRPr="0060123C">
        <w:rPr>
          <w:rFonts w:ascii="Verdana" w:hAnsi="Verdana"/>
          <w:color w:val="000000" w:themeColor="text1"/>
          <w:sz w:val="20"/>
          <w:szCs w:val="20"/>
        </w:rPr>
        <w:t xml:space="preserve">Considerando </w:t>
      </w:r>
      <w:r w:rsidR="00F321A1" w:rsidRPr="0060123C">
        <w:rPr>
          <w:rFonts w:ascii="Verdana" w:hAnsi="Verdana"/>
          <w:color w:val="000000" w:themeColor="text1"/>
          <w:sz w:val="20"/>
          <w:szCs w:val="20"/>
        </w:rPr>
        <w:t>9</w:t>
      </w:r>
      <w:r w:rsidR="00775D7F" w:rsidRPr="0060123C">
        <w:rPr>
          <w:rFonts w:ascii="Verdana" w:hAnsi="Verdana"/>
          <w:color w:val="000000" w:themeColor="text1"/>
          <w:sz w:val="20"/>
          <w:szCs w:val="20"/>
        </w:rPr>
        <w:t>)</w:t>
      </w:r>
      <w:r w:rsidR="003A475A" w:rsidRPr="0060123C">
        <w:rPr>
          <w:rFonts w:ascii="Verdana" w:hAnsi="Verdana"/>
          <w:color w:val="000000" w:themeColor="text1"/>
          <w:sz w:val="20"/>
          <w:szCs w:val="20"/>
        </w:rPr>
        <w:t xml:space="preserve">. Debido a que, a su vez, las instituciones peruanas tienen topes presupuestarios anuales </w:t>
      </w:r>
      <w:r w:rsidR="00642232" w:rsidRPr="0060123C">
        <w:rPr>
          <w:rFonts w:ascii="Verdana" w:hAnsi="Verdana"/>
          <w:color w:val="000000" w:themeColor="text1"/>
          <w:sz w:val="20"/>
          <w:szCs w:val="20"/>
        </w:rPr>
        <w:t xml:space="preserve">para dedicar al pago de obligaciones surgidas de la </w:t>
      </w:r>
      <w:r w:rsidR="003A475A" w:rsidRPr="0060123C">
        <w:rPr>
          <w:rFonts w:ascii="Verdana" w:hAnsi="Verdana"/>
          <w:color w:val="000000" w:themeColor="text1"/>
          <w:sz w:val="20"/>
          <w:szCs w:val="20"/>
        </w:rPr>
        <w:t xml:space="preserve">ejecución de sentencias (nacionales e internacionales), </w:t>
      </w:r>
      <w:r w:rsidR="00642232" w:rsidRPr="0060123C">
        <w:rPr>
          <w:rFonts w:ascii="Verdana" w:hAnsi="Verdana"/>
          <w:color w:val="000000" w:themeColor="text1"/>
          <w:sz w:val="20"/>
          <w:szCs w:val="20"/>
        </w:rPr>
        <w:t xml:space="preserve">el nivel inferior otorgado a las </w:t>
      </w:r>
      <w:r w:rsidR="00657FC1" w:rsidRPr="0060123C">
        <w:rPr>
          <w:rFonts w:ascii="Verdana" w:hAnsi="Verdana"/>
          <w:color w:val="000000" w:themeColor="text1"/>
          <w:sz w:val="20"/>
          <w:szCs w:val="20"/>
        </w:rPr>
        <w:t>S</w:t>
      </w:r>
      <w:r w:rsidR="00642232" w:rsidRPr="0060123C">
        <w:rPr>
          <w:rFonts w:ascii="Verdana" w:hAnsi="Verdana"/>
          <w:color w:val="000000" w:themeColor="text1"/>
          <w:sz w:val="20"/>
          <w:szCs w:val="20"/>
        </w:rPr>
        <w:t xml:space="preserve">entencias de la Corte Interamericana </w:t>
      </w:r>
      <w:r w:rsidR="008F1E1F" w:rsidRPr="0060123C">
        <w:rPr>
          <w:rFonts w:ascii="Verdana" w:hAnsi="Verdana"/>
          <w:color w:val="000000" w:themeColor="text1"/>
          <w:sz w:val="20"/>
          <w:szCs w:val="20"/>
        </w:rPr>
        <w:t xml:space="preserve">no garantiza que </w:t>
      </w:r>
      <w:r w:rsidR="00642232" w:rsidRPr="0060123C">
        <w:rPr>
          <w:rFonts w:ascii="Verdana" w:hAnsi="Verdana"/>
          <w:color w:val="000000" w:themeColor="text1"/>
          <w:sz w:val="20"/>
          <w:szCs w:val="20"/>
        </w:rPr>
        <w:t xml:space="preserve">las indemnizaciones ordenadas en </w:t>
      </w:r>
      <w:r w:rsidR="008F1E1F" w:rsidRPr="0060123C">
        <w:rPr>
          <w:rFonts w:ascii="Verdana" w:hAnsi="Verdana"/>
          <w:color w:val="000000" w:themeColor="text1"/>
          <w:sz w:val="20"/>
          <w:szCs w:val="20"/>
        </w:rPr>
        <w:t xml:space="preserve">las mismas puedan ser </w:t>
      </w:r>
      <w:r w:rsidR="00A76E4F" w:rsidRPr="0060123C">
        <w:rPr>
          <w:rFonts w:ascii="Verdana" w:hAnsi="Verdana"/>
          <w:color w:val="000000" w:themeColor="text1"/>
          <w:sz w:val="20"/>
          <w:szCs w:val="20"/>
        </w:rPr>
        <w:t>asumidas con los presupuestos anuales de las respectivas instituciones a cargo del pago</w:t>
      </w:r>
      <w:r w:rsidR="00733746" w:rsidRPr="0060123C">
        <w:rPr>
          <w:rStyle w:val="Refdenotaalpie"/>
          <w:rFonts w:ascii="Verdana" w:hAnsi="Verdana"/>
          <w:sz w:val="20"/>
          <w:szCs w:val="20"/>
        </w:rPr>
        <w:footnoteReference w:id="25"/>
      </w:r>
      <w:r w:rsidR="00733746" w:rsidRPr="0060123C">
        <w:rPr>
          <w:rFonts w:ascii="Verdana" w:hAnsi="Verdana"/>
          <w:sz w:val="20"/>
          <w:szCs w:val="20"/>
        </w:rPr>
        <w:t>.</w:t>
      </w:r>
      <w:r w:rsidR="00642232" w:rsidRPr="0060123C">
        <w:rPr>
          <w:rFonts w:ascii="Verdana" w:hAnsi="Verdana"/>
          <w:sz w:val="20"/>
          <w:szCs w:val="20"/>
        </w:rPr>
        <w:t xml:space="preserve"> Por consiguiente</w:t>
      </w:r>
      <w:r w:rsidR="00733746" w:rsidRPr="0060123C">
        <w:rPr>
          <w:rFonts w:ascii="Verdana" w:hAnsi="Verdana"/>
          <w:color w:val="000000" w:themeColor="text1"/>
          <w:sz w:val="20"/>
          <w:szCs w:val="20"/>
        </w:rPr>
        <w:t>, la normativa informada por el Estado (</w:t>
      </w:r>
      <w:r w:rsidR="00733746" w:rsidRPr="0060123C">
        <w:rPr>
          <w:rFonts w:ascii="Verdana" w:hAnsi="Verdana"/>
          <w:i/>
          <w:iCs/>
          <w:color w:val="000000" w:themeColor="text1"/>
          <w:sz w:val="20"/>
          <w:szCs w:val="20"/>
        </w:rPr>
        <w:t>supra</w:t>
      </w:r>
      <w:r w:rsidR="00733746" w:rsidRPr="0060123C">
        <w:rPr>
          <w:rFonts w:ascii="Verdana" w:hAnsi="Verdana"/>
          <w:color w:val="000000" w:themeColor="text1"/>
          <w:sz w:val="20"/>
          <w:szCs w:val="20"/>
        </w:rPr>
        <w:t xml:space="preserve"> Considerando </w:t>
      </w:r>
      <w:r w:rsidR="00657FC1" w:rsidRPr="0060123C">
        <w:rPr>
          <w:rFonts w:ascii="Verdana" w:hAnsi="Verdana"/>
          <w:color w:val="000000" w:themeColor="text1"/>
          <w:sz w:val="20"/>
          <w:szCs w:val="20"/>
        </w:rPr>
        <w:t>9</w:t>
      </w:r>
      <w:r w:rsidR="00733746" w:rsidRPr="0060123C">
        <w:rPr>
          <w:rFonts w:ascii="Verdana" w:hAnsi="Verdana"/>
          <w:color w:val="000000" w:themeColor="text1"/>
          <w:sz w:val="20"/>
          <w:szCs w:val="20"/>
        </w:rPr>
        <w:t>) puede constituir un obstáculo para el cumplimiento de las reparaciones dispuestas por este Tribunal en las Sentencias dictadas en casos del Perú, (</w:t>
      </w:r>
      <w:r w:rsidR="00733746" w:rsidRPr="0060123C">
        <w:rPr>
          <w:rFonts w:ascii="Verdana" w:hAnsi="Verdana"/>
          <w:i/>
          <w:iCs/>
          <w:color w:val="000000" w:themeColor="text1"/>
          <w:sz w:val="20"/>
          <w:szCs w:val="20"/>
        </w:rPr>
        <w:t>supra</w:t>
      </w:r>
      <w:r w:rsidR="00733746" w:rsidRPr="0060123C">
        <w:rPr>
          <w:rFonts w:ascii="Verdana" w:hAnsi="Verdana"/>
          <w:color w:val="000000" w:themeColor="text1"/>
          <w:sz w:val="20"/>
          <w:szCs w:val="20"/>
        </w:rPr>
        <w:t xml:space="preserve"> Visto 1)</w:t>
      </w:r>
      <w:r w:rsidR="00733746" w:rsidRPr="0060123C">
        <w:rPr>
          <w:rFonts w:ascii="Verdana" w:hAnsi="Verdana"/>
          <w:sz w:val="20"/>
          <w:szCs w:val="20"/>
          <w:lang w:val="es-AR"/>
        </w:rPr>
        <w:t xml:space="preserve">, retrasando durante años su cumplimiento, lo que es </w:t>
      </w:r>
      <w:r w:rsidR="00733746" w:rsidRPr="0060123C">
        <w:rPr>
          <w:rFonts w:ascii="Verdana" w:hAnsi="Verdana" w:cs="Verdana"/>
          <w:sz w:val="20"/>
          <w:szCs w:val="20"/>
        </w:rPr>
        <w:t xml:space="preserve">contrario al principio internacional que impone la </w:t>
      </w:r>
      <w:r w:rsidR="00733746" w:rsidRPr="0060123C">
        <w:rPr>
          <w:rFonts w:ascii="Verdana" w:hAnsi="Verdana"/>
          <w:sz w:val="20"/>
          <w:szCs w:val="20"/>
        </w:rPr>
        <w:t>obligación</w:t>
      </w:r>
      <w:r w:rsidR="00733746" w:rsidRPr="0060123C">
        <w:rPr>
          <w:rFonts w:ascii="Verdana" w:hAnsi="Verdana" w:cs="Verdana"/>
          <w:sz w:val="20"/>
          <w:szCs w:val="20"/>
        </w:rPr>
        <w:t xml:space="preserve"> al Estado de acatar sus obligaciones convencionales de buena fe</w:t>
      </w:r>
      <w:r w:rsidR="00733746" w:rsidRPr="0060123C">
        <w:rPr>
          <w:rFonts w:ascii="Verdana" w:hAnsi="Verdana"/>
          <w:sz w:val="20"/>
          <w:szCs w:val="20"/>
        </w:rPr>
        <w:t>.</w:t>
      </w:r>
      <w:r w:rsidR="00642232" w:rsidRPr="0060123C">
        <w:rPr>
          <w:rFonts w:ascii="Verdana" w:hAnsi="Verdana"/>
          <w:color w:val="00B050"/>
          <w:sz w:val="20"/>
          <w:szCs w:val="20"/>
        </w:rPr>
        <w:t xml:space="preserve"> </w:t>
      </w:r>
    </w:p>
    <w:p w14:paraId="3BBB4590" w14:textId="06B04F6B" w:rsidR="00262FA6" w:rsidRPr="0060123C" w:rsidRDefault="00262FA6" w:rsidP="00262FA6">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sz w:val="20"/>
          <w:szCs w:val="20"/>
        </w:rPr>
        <w:t xml:space="preserve">Asimismo, </w:t>
      </w:r>
      <w:r w:rsidR="00D76A1F" w:rsidRPr="0060123C">
        <w:rPr>
          <w:rFonts w:ascii="Verdana" w:hAnsi="Verdana"/>
          <w:sz w:val="20"/>
          <w:szCs w:val="20"/>
        </w:rPr>
        <w:t>la Corte</w:t>
      </w:r>
      <w:r w:rsidRPr="0060123C">
        <w:rPr>
          <w:rFonts w:ascii="Verdana" w:hAnsi="Verdana"/>
          <w:sz w:val="20"/>
          <w:szCs w:val="20"/>
        </w:rPr>
        <w:t xml:space="preserve"> advierte con gran preocupación </w:t>
      </w:r>
      <w:r w:rsidRPr="0060123C">
        <w:rPr>
          <w:rFonts w:ascii="Verdana" w:hAnsi="Verdana"/>
          <w:color w:val="000000" w:themeColor="text1"/>
          <w:sz w:val="20"/>
          <w:szCs w:val="20"/>
        </w:rPr>
        <w:t>la particular situación de las víctimas supérstites, sus familiares</w:t>
      </w:r>
      <w:r w:rsidRPr="0060123C">
        <w:rPr>
          <w:rFonts w:ascii="Verdana" w:hAnsi="Verdana"/>
          <w:sz w:val="20"/>
          <w:szCs w:val="20"/>
        </w:rPr>
        <w:t xml:space="preserve"> y su edad avanzada.</w:t>
      </w:r>
      <w:r w:rsidR="00D76A1F" w:rsidRPr="0060123C">
        <w:rPr>
          <w:rFonts w:ascii="Verdana" w:hAnsi="Verdana"/>
          <w:sz w:val="20"/>
          <w:szCs w:val="20"/>
        </w:rPr>
        <w:t xml:space="preserve"> Por ello, r</w:t>
      </w:r>
      <w:r w:rsidRPr="0060123C">
        <w:rPr>
          <w:rFonts w:ascii="Verdana" w:hAnsi="Verdana"/>
          <w:sz w:val="20"/>
          <w:szCs w:val="20"/>
        </w:rPr>
        <w:t xml:space="preserve">esalta que, en relación con personas en situación de vulnerabilidad, como las personas mayores, es exigible un criterio reforzado de celeridad en todos los procesos judiciales y administrativos, incluyendo la ejecución de las </w:t>
      </w:r>
      <w:r w:rsidR="00657FC1" w:rsidRPr="0060123C">
        <w:rPr>
          <w:rFonts w:ascii="Verdana" w:hAnsi="Verdana"/>
          <w:sz w:val="20"/>
          <w:szCs w:val="20"/>
        </w:rPr>
        <w:t>S</w:t>
      </w:r>
      <w:r w:rsidRPr="0060123C">
        <w:rPr>
          <w:rFonts w:ascii="Verdana" w:hAnsi="Verdana"/>
          <w:sz w:val="20"/>
          <w:szCs w:val="20"/>
        </w:rPr>
        <w:t>entencias, dada la incidencia particular que la demora puede tener en tales personas. La celeridad en los procesos forma entonces parte de los deberes reforzados que tienen los Estados de debida diligencia en el acceso a la justicia de las personas mayores</w:t>
      </w:r>
      <w:r w:rsidRPr="0060123C">
        <w:rPr>
          <w:rStyle w:val="Refdenotaalpie"/>
          <w:rFonts w:ascii="Verdana" w:hAnsi="Verdana"/>
          <w:sz w:val="20"/>
          <w:szCs w:val="20"/>
        </w:rPr>
        <w:footnoteReference w:id="26"/>
      </w:r>
      <w:r w:rsidRPr="0060123C">
        <w:rPr>
          <w:rFonts w:ascii="Verdana" w:hAnsi="Verdana"/>
          <w:sz w:val="20"/>
          <w:szCs w:val="20"/>
        </w:rPr>
        <w:t xml:space="preserve">. Es así </w:t>
      </w:r>
      <w:proofErr w:type="gramStart"/>
      <w:r w:rsidRPr="0060123C">
        <w:rPr>
          <w:rFonts w:ascii="Verdana" w:hAnsi="Verdana"/>
          <w:sz w:val="20"/>
          <w:szCs w:val="20"/>
        </w:rPr>
        <w:t>que</w:t>
      </w:r>
      <w:proofErr w:type="gramEnd"/>
      <w:r w:rsidRPr="0060123C">
        <w:rPr>
          <w:rFonts w:ascii="Verdana" w:hAnsi="Verdana"/>
          <w:sz w:val="20"/>
          <w:szCs w:val="20"/>
        </w:rPr>
        <w:t xml:space="preserve"> el Perú debe garantizar una ejecución con debida </w:t>
      </w:r>
      <w:r w:rsidRPr="0060123C">
        <w:rPr>
          <w:rFonts w:ascii="Verdana" w:hAnsi="Verdana"/>
          <w:sz w:val="20"/>
          <w:szCs w:val="20"/>
        </w:rPr>
        <w:lastRenderedPageBreak/>
        <w:t>diligencia y tratamiento preferencial</w:t>
      </w:r>
      <w:r w:rsidRPr="0060123C">
        <w:rPr>
          <w:rStyle w:val="Refdenotaalpie"/>
          <w:rFonts w:ascii="Verdana" w:hAnsi="Verdana"/>
          <w:sz w:val="20"/>
          <w:szCs w:val="20"/>
        </w:rPr>
        <w:footnoteReference w:id="27"/>
      </w:r>
      <w:r w:rsidRPr="0060123C">
        <w:rPr>
          <w:rFonts w:ascii="Verdana" w:hAnsi="Verdana"/>
          <w:sz w:val="20"/>
          <w:szCs w:val="20"/>
        </w:rPr>
        <w:t xml:space="preserve"> respecto a las indemnizaciones y/o reintegros de costas y gastos ordenados en las Sentencias</w:t>
      </w:r>
      <w:r w:rsidR="0089272F">
        <w:rPr>
          <w:rFonts w:ascii="Verdana" w:hAnsi="Verdana"/>
          <w:sz w:val="20"/>
          <w:szCs w:val="20"/>
        </w:rPr>
        <w:t xml:space="preserve"> en beneficio de personas mayores</w:t>
      </w:r>
      <w:r w:rsidRPr="0060123C">
        <w:rPr>
          <w:rFonts w:ascii="Verdana" w:hAnsi="Verdana"/>
          <w:sz w:val="20"/>
          <w:szCs w:val="20"/>
        </w:rPr>
        <w:t>.</w:t>
      </w:r>
    </w:p>
    <w:p w14:paraId="41FBB30E" w14:textId="673B3E8E" w:rsidR="0000589E" w:rsidRPr="0060123C" w:rsidRDefault="00FF309B" w:rsidP="0000589E">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eastAsia="Calibri" w:hAnsi="Verdana" w:cs="Cambria"/>
          <w:sz w:val="20"/>
          <w:szCs w:val="20"/>
          <w:lang w:eastAsia="es-CR"/>
        </w:rPr>
        <w:t>E</w:t>
      </w:r>
      <w:r w:rsidR="003573E5" w:rsidRPr="0060123C">
        <w:rPr>
          <w:rFonts w:ascii="Verdana" w:eastAsia="Calibri" w:hAnsi="Verdana" w:cs="Cambria"/>
          <w:sz w:val="20"/>
          <w:szCs w:val="20"/>
          <w:lang w:eastAsia="es-CR"/>
        </w:rPr>
        <w:t>ste Tribunal recuerda que e</w:t>
      </w:r>
      <w:r w:rsidRPr="0060123C">
        <w:rPr>
          <w:rFonts w:ascii="Verdana" w:eastAsia="Calibri" w:hAnsi="Verdana" w:cs="Cambria"/>
          <w:sz w:val="20"/>
          <w:szCs w:val="20"/>
          <w:lang w:eastAsia="es-CR"/>
        </w:rPr>
        <w:t>l cumplimiento de lo dispuesto en la Sentencia es una obligación que no está sujeta a condiciones.</w:t>
      </w:r>
      <w:r w:rsidR="003573E5" w:rsidRPr="0060123C">
        <w:rPr>
          <w:rFonts w:ascii="Verdana" w:hAnsi="Verdana"/>
          <w:color w:val="000000" w:themeColor="text1"/>
          <w:sz w:val="20"/>
          <w:szCs w:val="20"/>
        </w:rPr>
        <w:t xml:space="preserve"> De conformidad con lo establecido en el artículo 68.1 de la Convención Americana sobre Derechos Humanos, “[l]os </w:t>
      </w:r>
      <w:proofErr w:type="gramStart"/>
      <w:r w:rsidR="003573E5" w:rsidRPr="0060123C">
        <w:rPr>
          <w:rFonts w:ascii="Verdana" w:hAnsi="Verdana"/>
          <w:color w:val="000000" w:themeColor="text1"/>
          <w:sz w:val="20"/>
          <w:szCs w:val="20"/>
        </w:rPr>
        <w:t>Estados Partes</w:t>
      </w:r>
      <w:proofErr w:type="gramEnd"/>
      <w:r w:rsidR="003573E5" w:rsidRPr="0060123C">
        <w:rPr>
          <w:rFonts w:ascii="Verdana" w:hAnsi="Verdana"/>
          <w:color w:val="000000" w:themeColor="text1"/>
          <w:sz w:val="20"/>
          <w:szCs w:val="20"/>
        </w:rPr>
        <w:t xml:space="preserve"> en la Convención se comprometen a cumplir la decisión de la Corte en todo caso en que sean partes”. Los Estados Parte en la Convención deben garantizar el cumplimiento de las disposiciones convencionales y sus efectos propios (</w:t>
      </w:r>
      <w:proofErr w:type="spellStart"/>
      <w:r w:rsidR="003573E5" w:rsidRPr="0060123C">
        <w:rPr>
          <w:rFonts w:ascii="Verdana" w:hAnsi="Verdana"/>
          <w:i/>
          <w:color w:val="000000" w:themeColor="text1"/>
          <w:sz w:val="20"/>
          <w:szCs w:val="20"/>
        </w:rPr>
        <w:t>effet</w:t>
      </w:r>
      <w:proofErr w:type="spellEnd"/>
      <w:r w:rsidR="003573E5" w:rsidRPr="0060123C">
        <w:rPr>
          <w:rFonts w:ascii="Verdana" w:hAnsi="Verdana"/>
          <w:i/>
          <w:color w:val="000000" w:themeColor="text1"/>
          <w:sz w:val="20"/>
          <w:szCs w:val="20"/>
        </w:rPr>
        <w:t xml:space="preserve"> </w:t>
      </w:r>
      <w:proofErr w:type="spellStart"/>
      <w:r w:rsidR="003573E5" w:rsidRPr="0060123C">
        <w:rPr>
          <w:rFonts w:ascii="Verdana" w:hAnsi="Verdana"/>
          <w:i/>
          <w:color w:val="000000" w:themeColor="text1"/>
          <w:sz w:val="20"/>
          <w:szCs w:val="20"/>
        </w:rPr>
        <w:t>utile</w:t>
      </w:r>
      <w:proofErr w:type="spellEnd"/>
      <w:r w:rsidR="003573E5" w:rsidRPr="0060123C">
        <w:rPr>
          <w:rFonts w:ascii="Verdana" w:hAnsi="Verdana"/>
          <w:color w:val="000000" w:themeColor="text1"/>
          <w:sz w:val="20"/>
          <w:szCs w:val="20"/>
        </w:rPr>
        <w:t>) en el plano de sus respectivos derechos internos. Estas obligaciones deben ser interpretadas y aplicadas de manera que la garantía protegida sea verdaderamente práctica y eficaz, teniendo presente la naturaleza especial de los tratados de derechos humanos</w:t>
      </w:r>
      <w:r w:rsidR="003573E5" w:rsidRPr="0060123C">
        <w:rPr>
          <w:rStyle w:val="Refdenotaalpie"/>
          <w:rFonts w:ascii="Verdana" w:hAnsi="Verdana"/>
          <w:color w:val="000000" w:themeColor="text1"/>
          <w:sz w:val="20"/>
          <w:szCs w:val="20"/>
        </w:rPr>
        <w:footnoteReference w:id="28"/>
      </w:r>
      <w:r w:rsidR="003573E5" w:rsidRPr="0060123C">
        <w:rPr>
          <w:rFonts w:ascii="Verdana" w:hAnsi="Verdana"/>
          <w:color w:val="000000" w:themeColor="text1"/>
          <w:sz w:val="20"/>
          <w:szCs w:val="20"/>
        </w:rPr>
        <w:t>.</w:t>
      </w:r>
      <w:r w:rsidR="0000589E" w:rsidRPr="0060123C">
        <w:rPr>
          <w:rFonts w:ascii="Verdana" w:hAnsi="Verdana"/>
          <w:color w:val="000000" w:themeColor="text1"/>
          <w:sz w:val="20"/>
          <w:szCs w:val="20"/>
        </w:rPr>
        <w:t xml:space="preserve"> </w:t>
      </w:r>
      <w:r w:rsidR="0000589E" w:rsidRPr="0060123C">
        <w:rPr>
          <w:rFonts w:ascii="Verdana" w:eastAsia="Times New Roman" w:hAnsi="Verdana"/>
          <w:color w:val="000000"/>
          <w:sz w:val="20"/>
          <w:szCs w:val="20"/>
        </w:rPr>
        <w:t>Los Estados Parte en la</w:t>
      </w:r>
      <w:r w:rsidR="0000589E" w:rsidRPr="0060123C">
        <w:rPr>
          <w:rFonts w:ascii="Verdana" w:eastAsia="Calibri" w:hAnsi="Verdana" w:cs="Cambria"/>
          <w:sz w:val="20"/>
          <w:szCs w:val="20"/>
          <w:lang w:eastAsia="es-CR"/>
        </w:rPr>
        <w:t xml:space="preserve"> </w:t>
      </w:r>
      <w:r w:rsidR="0000589E" w:rsidRPr="0060123C">
        <w:rPr>
          <w:rFonts w:ascii="Verdana" w:eastAsia="Times New Roman" w:hAnsi="Verdana"/>
          <w:color w:val="000000"/>
          <w:sz w:val="20"/>
          <w:szCs w:val="20"/>
        </w:rPr>
        <w:t>Convención Americana no pueden invocar disposiciones del derecho constitucional u otros aspectos del</w:t>
      </w:r>
      <w:r w:rsidR="0000589E" w:rsidRPr="0060123C">
        <w:rPr>
          <w:rFonts w:ascii="Verdana" w:eastAsia="Calibri" w:hAnsi="Verdana" w:cs="Cambria"/>
          <w:sz w:val="20"/>
          <w:szCs w:val="20"/>
          <w:lang w:eastAsia="es-CR"/>
        </w:rPr>
        <w:t xml:space="preserve"> </w:t>
      </w:r>
      <w:r w:rsidR="0000589E" w:rsidRPr="0060123C">
        <w:rPr>
          <w:rFonts w:ascii="Verdana" w:hAnsi="Verdana"/>
          <w:color w:val="000000" w:themeColor="text1"/>
          <w:sz w:val="20"/>
          <w:szCs w:val="20"/>
        </w:rPr>
        <w:t>derecho interno para justificar una falta de cumplimiento de las obligaciones contenidas en dicho tratado</w:t>
      </w:r>
      <w:r w:rsidR="0000589E" w:rsidRPr="0060123C">
        <w:rPr>
          <w:rStyle w:val="Refdenotaalpie"/>
          <w:rFonts w:ascii="Verdana" w:hAnsi="Verdana"/>
          <w:color w:val="000000" w:themeColor="text1"/>
          <w:sz w:val="20"/>
          <w:szCs w:val="20"/>
        </w:rPr>
        <w:footnoteReference w:id="29"/>
      </w:r>
    </w:p>
    <w:p w14:paraId="0C995EF7" w14:textId="4DD4816C" w:rsidR="003B0350" w:rsidRPr="0060123C" w:rsidRDefault="00DC4DAB" w:rsidP="00B71460">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En consecuencia, e</w:t>
      </w:r>
      <w:r w:rsidR="000E2EAC" w:rsidRPr="0060123C">
        <w:rPr>
          <w:rFonts w:ascii="Verdana" w:hAnsi="Verdana"/>
          <w:color w:val="000000" w:themeColor="text1"/>
          <w:sz w:val="20"/>
          <w:szCs w:val="20"/>
        </w:rPr>
        <w:t>s imprescindible que el Estado realice</w:t>
      </w:r>
      <w:r w:rsidR="00B71460" w:rsidRPr="0060123C">
        <w:rPr>
          <w:rFonts w:ascii="Verdana" w:hAnsi="Verdana"/>
          <w:color w:val="000000" w:themeColor="text1"/>
          <w:sz w:val="20"/>
          <w:szCs w:val="20"/>
        </w:rPr>
        <w:t xml:space="preserve"> </w:t>
      </w:r>
      <w:r w:rsidR="000E2EAC" w:rsidRPr="0060123C">
        <w:rPr>
          <w:rFonts w:ascii="Verdana" w:hAnsi="Verdana"/>
          <w:color w:val="000000" w:themeColor="text1"/>
          <w:sz w:val="20"/>
          <w:szCs w:val="20"/>
        </w:rPr>
        <w:t>todas las gestiones que sean necesarias para dar cumplimiento a las reparaciones que se encuentran pendientes en las cinco Sentencias (</w:t>
      </w:r>
      <w:r w:rsidR="000E2EAC" w:rsidRPr="0060123C">
        <w:rPr>
          <w:rFonts w:ascii="Verdana" w:hAnsi="Verdana"/>
          <w:i/>
          <w:iCs/>
          <w:color w:val="000000" w:themeColor="text1"/>
          <w:sz w:val="20"/>
          <w:szCs w:val="20"/>
        </w:rPr>
        <w:t>supra</w:t>
      </w:r>
      <w:r w:rsidR="000E2EAC" w:rsidRPr="0060123C">
        <w:rPr>
          <w:rFonts w:ascii="Verdana" w:hAnsi="Verdana"/>
          <w:color w:val="000000" w:themeColor="text1"/>
          <w:sz w:val="20"/>
          <w:szCs w:val="20"/>
        </w:rPr>
        <w:t xml:space="preserve"> Considerando</w:t>
      </w:r>
      <w:r w:rsidR="00D65139" w:rsidRPr="0060123C">
        <w:rPr>
          <w:rFonts w:ascii="Verdana" w:hAnsi="Verdana"/>
          <w:color w:val="000000" w:themeColor="text1"/>
          <w:sz w:val="20"/>
          <w:szCs w:val="20"/>
        </w:rPr>
        <w:t xml:space="preserve"> 4</w:t>
      </w:r>
      <w:r w:rsidR="000E2EAC" w:rsidRPr="0060123C">
        <w:rPr>
          <w:rFonts w:ascii="Verdana" w:hAnsi="Verdana"/>
          <w:color w:val="000000" w:themeColor="text1"/>
          <w:sz w:val="20"/>
          <w:szCs w:val="20"/>
        </w:rPr>
        <w:t>), dado el tiempo transcurrido desde el vencimiento de los plazos otorgados para tal efecto</w:t>
      </w:r>
      <w:r w:rsidR="00DA3FF5" w:rsidRPr="0060123C">
        <w:rPr>
          <w:rFonts w:ascii="Verdana" w:hAnsi="Verdana"/>
          <w:color w:val="000000" w:themeColor="text1"/>
          <w:sz w:val="20"/>
          <w:szCs w:val="20"/>
        </w:rPr>
        <w:t xml:space="preserve"> (</w:t>
      </w:r>
      <w:r w:rsidR="00DA3FF5" w:rsidRPr="0060123C">
        <w:rPr>
          <w:rFonts w:ascii="Verdana" w:hAnsi="Verdana"/>
          <w:i/>
          <w:iCs/>
          <w:color w:val="000000" w:themeColor="text1"/>
          <w:sz w:val="20"/>
          <w:szCs w:val="20"/>
        </w:rPr>
        <w:t>supra</w:t>
      </w:r>
      <w:r w:rsidR="00DA3FF5" w:rsidRPr="0060123C">
        <w:rPr>
          <w:rFonts w:ascii="Verdana" w:hAnsi="Verdana"/>
          <w:color w:val="000000" w:themeColor="text1"/>
          <w:sz w:val="20"/>
          <w:szCs w:val="20"/>
        </w:rPr>
        <w:t xml:space="preserve"> Considerandos 14)</w:t>
      </w:r>
      <w:r w:rsidRPr="0060123C">
        <w:rPr>
          <w:rFonts w:ascii="Verdana" w:hAnsi="Verdana"/>
          <w:color w:val="000000" w:themeColor="text1"/>
          <w:sz w:val="20"/>
          <w:szCs w:val="20"/>
        </w:rPr>
        <w:t>, para lo cual debe superar los obstáculos que impidan su pronto cumplimiento</w:t>
      </w:r>
      <w:r w:rsidR="000E2EAC" w:rsidRPr="0060123C">
        <w:rPr>
          <w:rFonts w:ascii="Verdana" w:hAnsi="Verdana"/>
          <w:color w:val="000000" w:themeColor="text1"/>
          <w:sz w:val="20"/>
          <w:szCs w:val="20"/>
        </w:rPr>
        <w:t>.</w:t>
      </w:r>
    </w:p>
    <w:p w14:paraId="28BDF343" w14:textId="4B2EBC0A" w:rsidR="00E361CF" w:rsidRPr="0060123C" w:rsidRDefault="00855CB6" w:rsidP="00E361CF">
      <w:pPr>
        <w:pStyle w:val="Prrafodelista"/>
        <w:numPr>
          <w:ilvl w:val="0"/>
          <w:numId w:val="5"/>
        </w:numPr>
        <w:spacing w:before="120" w:after="120"/>
        <w:ind w:left="0" w:firstLine="0"/>
        <w:jc w:val="both"/>
        <w:rPr>
          <w:rFonts w:ascii="Verdana" w:hAnsi="Verdana"/>
          <w:color w:val="000000" w:themeColor="text1"/>
          <w:sz w:val="20"/>
          <w:szCs w:val="20"/>
        </w:rPr>
      </w:pPr>
      <w:r w:rsidRPr="0060123C">
        <w:rPr>
          <w:rFonts w:ascii="Verdana" w:hAnsi="Verdana"/>
          <w:color w:val="000000" w:themeColor="text1"/>
          <w:sz w:val="20"/>
          <w:szCs w:val="20"/>
        </w:rPr>
        <w:t xml:space="preserve">Por </w:t>
      </w:r>
      <w:r w:rsidR="00772811" w:rsidRPr="0060123C">
        <w:rPr>
          <w:rFonts w:ascii="Verdana" w:hAnsi="Verdana"/>
          <w:color w:val="000000" w:themeColor="text1"/>
          <w:sz w:val="20"/>
          <w:szCs w:val="20"/>
        </w:rPr>
        <w:t xml:space="preserve">todo </w:t>
      </w:r>
      <w:r w:rsidRPr="0060123C">
        <w:rPr>
          <w:rFonts w:ascii="Verdana" w:hAnsi="Verdana"/>
          <w:color w:val="000000" w:themeColor="text1"/>
          <w:sz w:val="20"/>
          <w:szCs w:val="20"/>
        </w:rPr>
        <w:t xml:space="preserve">lo </w:t>
      </w:r>
      <w:r w:rsidR="00B71460" w:rsidRPr="0060123C">
        <w:rPr>
          <w:rFonts w:ascii="Verdana" w:hAnsi="Verdana"/>
          <w:color w:val="000000" w:themeColor="text1"/>
          <w:sz w:val="20"/>
          <w:szCs w:val="20"/>
        </w:rPr>
        <w:t>expuesto</w:t>
      </w:r>
      <w:r w:rsidRPr="0060123C">
        <w:rPr>
          <w:rFonts w:ascii="Verdana" w:hAnsi="Verdana"/>
          <w:color w:val="000000" w:themeColor="text1"/>
          <w:sz w:val="20"/>
          <w:szCs w:val="20"/>
        </w:rPr>
        <w:t>, e</w:t>
      </w:r>
      <w:r w:rsidR="00772811" w:rsidRPr="0060123C">
        <w:rPr>
          <w:rFonts w:ascii="Verdana" w:hAnsi="Verdana"/>
          <w:color w:val="000000" w:themeColor="text1"/>
          <w:sz w:val="20"/>
          <w:szCs w:val="20"/>
        </w:rPr>
        <w:t>ste</w:t>
      </w:r>
      <w:r w:rsidRPr="0060123C">
        <w:rPr>
          <w:rFonts w:ascii="Verdana" w:hAnsi="Verdana"/>
          <w:color w:val="000000" w:themeColor="text1"/>
          <w:sz w:val="20"/>
          <w:szCs w:val="20"/>
        </w:rPr>
        <w:t xml:space="preserve"> Tribunal </w:t>
      </w:r>
      <w:r w:rsidR="00772811" w:rsidRPr="0060123C">
        <w:rPr>
          <w:rFonts w:ascii="Verdana" w:hAnsi="Verdana"/>
          <w:color w:val="000000" w:themeColor="text1"/>
          <w:sz w:val="20"/>
          <w:szCs w:val="20"/>
        </w:rPr>
        <w:t>determina</w:t>
      </w:r>
      <w:r w:rsidRPr="0060123C">
        <w:rPr>
          <w:rFonts w:ascii="Verdana" w:hAnsi="Verdana"/>
          <w:color w:val="000000" w:themeColor="text1"/>
          <w:sz w:val="20"/>
          <w:szCs w:val="20"/>
        </w:rPr>
        <w:t xml:space="preserve"> que</w:t>
      </w:r>
      <w:r w:rsidR="0011672D" w:rsidRPr="0060123C">
        <w:rPr>
          <w:rFonts w:ascii="Verdana" w:hAnsi="Verdana"/>
          <w:color w:val="000000" w:themeColor="text1"/>
          <w:sz w:val="20"/>
          <w:szCs w:val="20"/>
        </w:rPr>
        <w:t xml:space="preserve"> se encuentran pendientes de cumplimiento </w:t>
      </w:r>
      <w:r w:rsidRPr="0060123C">
        <w:rPr>
          <w:rFonts w:ascii="Verdana" w:hAnsi="Verdana"/>
          <w:color w:val="000000" w:themeColor="text1"/>
          <w:sz w:val="20"/>
          <w:szCs w:val="20"/>
        </w:rPr>
        <w:t>la</w:t>
      </w:r>
      <w:r w:rsidR="00802788" w:rsidRPr="0060123C">
        <w:rPr>
          <w:rFonts w:ascii="Verdana" w:hAnsi="Verdana"/>
          <w:color w:val="000000" w:themeColor="text1"/>
          <w:sz w:val="20"/>
          <w:szCs w:val="20"/>
        </w:rPr>
        <w:t>s</w:t>
      </w:r>
      <w:r w:rsidRPr="0060123C">
        <w:rPr>
          <w:rFonts w:ascii="Verdana" w:hAnsi="Verdana"/>
          <w:color w:val="000000" w:themeColor="text1"/>
          <w:sz w:val="20"/>
          <w:szCs w:val="20"/>
        </w:rPr>
        <w:t xml:space="preserve"> medida</w:t>
      </w:r>
      <w:r w:rsidR="00802788" w:rsidRPr="0060123C">
        <w:rPr>
          <w:rFonts w:ascii="Verdana" w:hAnsi="Verdana"/>
          <w:color w:val="000000" w:themeColor="text1"/>
          <w:sz w:val="20"/>
          <w:szCs w:val="20"/>
        </w:rPr>
        <w:t>s</w:t>
      </w:r>
      <w:r w:rsidRPr="0060123C">
        <w:rPr>
          <w:rFonts w:ascii="Verdana" w:hAnsi="Verdana"/>
          <w:color w:val="000000" w:themeColor="text1"/>
          <w:sz w:val="20"/>
          <w:szCs w:val="20"/>
        </w:rPr>
        <w:t xml:space="preserve"> relativa</w:t>
      </w:r>
      <w:r w:rsidR="00802788" w:rsidRPr="0060123C">
        <w:rPr>
          <w:rFonts w:ascii="Verdana" w:hAnsi="Verdana"/>
          <w:color w:val="000000" w:themeColor="text1"/>
          <w:sz w:val="20"/>
          <w:szCs w:val="20"/>
        </w:rPr>
        <w:t>s</w:t>
      </w:r>
      <w:r w:rsidRPr="0060123C">
        <w:rPr>
          <w:rFonts w:ascii="Verdana" w:hAnsi="Verdana"/>
          <w:color w:val="000000" w:themeColor="text1"/>
          <w:sz w:val="20"/>
          <w:szCs w:val="20"/>
        </w:rPr>
        <w:t xml:space="preserve"> a</w:t>
      </w:r>
      <w:r w:rsidR="00802788" w:rsidRPr="0060123C">
        <w:rPr>
          <w:rFonts w:ascii="Verdana" w:hAnsi="Verdana"/>
          <w:color w:val="000000" w:themeColor="text1"/>
          <w:sz w:val="20"/>
          <w:szCs w:val="20"/>
        </w:rPr>
        <w:t xml:space="preserve"> realizar</w:t>
      </w:r>
      <w:r w:rsidR="001E5F0C" w:rsidRPr="0060123C">
        <w:rPr>
          <w:rFonts w:ascii="Verdana" w:hAnsi="Verdana"/>
          <w:color w:val="000000" w:themeColor="text1"/>
          <w:sz w:val="20"/>
          <w:szCs w:val="20"/>
        </w:rPr>
        <w:t xml:space="preserve"> los pagos de indemnización y</w:t>
      </w:r>
      <w:r w:rsidR="0011672D" w:rsidRPr="0060123C">
        <w:rPr>
          <w:rFonts w:ascii="Verdana" w:hAnsi="Verdana"/>
          <w:color w:val="000000" w:themeColor="text1"/>
          <w:sz w:val="20"/>
          <w:szCs w:val="20"/>
        </w:rPr>
        <w:t>/o los</w:t>
      </w:r>
      <w:r w:rsidR="001E5F0C" w:rsidRPr="0060123C">
        <w:rPr>
          <w:rFonts w:ascii="Verdana" w:hAnsi="Verdana"/>
          <w:color w:val="000000" w:themeColor="text1"/>
          <w:sz w:val="20"/>
          <w:szCs w:val="20"/>
        </w:rPr>
        <w:t xml:space="preserve"> </w:t>
      </w:r>
      <w:r w:rsidRPr="0060123C">
        <w:rPr>
          <w:rFonts w:ascii="Verdana" w:hAnsi="Verdana"/>
          <w:color w:val="000000" w:themeColor="text1"/>
          <w:sz w:val="20"/>
          <w:szCs w:val="20"/>
        </w:rPr>
        <w:t>reintegro</w:t>
      </w:r>
      <w:r w:rsidR="0011672D" w:rsidRPr="0060123C">
        <w:rPr>
          <w:rFonts w:ascii="Verdana" w:hAnsi="Verdana"/>
          <w:color w:val="000000" w:themeColor="text1"/>
          <w:sz w:val="20"/>
          <w:szCs w:val="20"/>
        </w:rPr>
        <w:t>s</w:t>
      </w:r>
      <w:r w:rsidRPr="0060123C">
        <w:rPr>
          <w:rFonts w:ascii="Verdana" w:hAnsi="Verdana"/>
          <w:color w:val="000000" w:themeColor="text1"/>
          <w:sz w:val="20"/>
          <w:szCs w:val="20"/>
        </w:rPr>
        <w:t xml:space="preserve"> de costas y gastos, ordenad</w:t>
      </w:r>
      <w:r w:rsidR="001E5F0C" w:rsidRPr="0060123C">
        <w:rPr>
          <w:rFonts w:ascii="Verdana" w:hAnsi="Verdana"/>
          <w:color w:val="000000" w:themeColor="text1"/>
          <w:sz w:val="20"/>
          <w:szCs w:val="20"/>
        </w:rPr>
        <w:t>os</w:t>
      </w:r>
      <w:r w:rsidRPr="0060123C">
        <w:rPr>
          <w:rFonts w:ascii="Verdana" w:hAnsi="Verdana"/>
          <w:color w:val="000000" w:themeColor="text1"/>
          <w:sz w:val="20"/>
          <w:szCs w:val="20"/>
        </w:rPr>
        <w:t xml:space="preserve"> en el punto dispositivo octavo de la Sentencia del </w:t>
      </w:r>
      <w:r w:rsidRPr="0060123C">
        <w:rPr>
          <w:rFonts w:ascii="Verdana" w:hAnsi="Verdana"/>
          <w:i/>
          <w:iCs/>
          <w:color w:val="000000" w:themeColor="text1"/>
          <w:sz w:val="20"/>
          <w:szCs w:val="20"/>
        </w:rPr>
        <w:t>Caso Tarazona Arrieta y otros</w:t>
      </w:r>
      <w:r w:rsidR="001E5F0C" w:rsidRPr="0060123C">
        <w:rPr>
          <w:rFonts w:ascii="Verdana" w:hAnsi="Verdana"/>
          <w:color w:val="000000" w:themeColor="text1"/>
          <w:sz w:val="20"/>
          <w:szCs w:val="20"/>
        </w:rPr>
        <w:t>,</w:t>
      </w:r>
      <w:r w:rsidR="00802788" w:rsidRPr="0060123C">
        <w:rPr>
          <w:rFonts w:ascii="Verdana" w:hAnsi="Verdana"/>
          <w:color w:val="000000" w:themeColor="text1"/>
          <w:sz w:val="20"/>
          <w:szCs w:val="20"/>
        </w:rPr>
        <w:t xml:space="preserve"> en el punto resolutivo</w:t>
      </w:r>
      <w:r w:rsidR="004B1412" w:rsidRPr="0060123C">
        <w:rPr>
          <w:rFonts w:ascii="Verdana" w:hAnsi="Verdana"/>
          <w:color w:val="000000" w:themeColor="text1"/>
          <w:sz w:val="20"/>
          <w:szCs w:val="20"/>
        </w:rPr>
        <w:t xml:space="preserve"> </w:t>
      </w:r>
      <w:r w:rsidR="00802788" w:rsidRPr="0060123C">
        <w:rPr>
          <w:rFonts w:ascii="Verdana" w:hAnsi="Verdana"/>
          <w:color w:val="000000" w:themeColor="text1"/>
          <w:sz w:val="20"/>
          <w:szCs w:val="20"/>
        </w:rPr>
        <w:t>séptimo de la Sentencia</w:t>
      </w:r>
      <w:r w:rsidR="004B1412" w:rsidRPr="0060123C">
        <w:rPr>
          <w:rFonts w:ascii="Verdana" w:hAnsi="Verdana"/>
          <w:color w:val="000000" w:themeColor="text1"/>
          <w:sz w:val="20"/>
          <w:szCs w:val="20"/>
        </w:rPr>
        <w:t xml:space="preserve"> del</w:t>
      </w:r>
      <w:r w:rsidR="004B1412" w:rsidRPr="0060123C">
        <w:rPr>
          <w:rFonts w:ascii="Verdana" w:hAnsi="Verdana"/>
          <w:i/>
          <w:iCs/>
          <w:color w:val="000000" w:themeColor="text1"/>
          <w:sz w:val="20"/>
          <w:szCs w:val="20"/>
        </w:rPr>
        <w:t xml:space="preserve"> Caso Canales Huapaya y otros</w:t>
      </w:r>
      <w:r w:rsidR="001E5F0C" w:rsidRPr="0060123C">
        <w:rPr>
          <w:rFonts w:ascii="Verdana" w:hAnsi="Verdana"/>
          <w:color w:val="000000" w:themeColor="text1"/>
          <w:sz w:val="20"/>
          <w:szCs w:val="20"/>
        </w:rPr>
        <w:t xml:space="preserve">, </w:t>
      </w:r>
      <w:r w:rsidR="00AD7CC7" w:rsidRPr="0060123C">
        <w:rPr>
          <w:rFonts w:ascii="Verdana" w:hAnsi="Verdana"/>
          <w:color w:val="000000" w:themeColor="text1"/>
          <w:sz w:val="20"/>
          <w:szCs w:val="20"/>
        </w:rPr>
        <w:t xml:space="preserve">en el punto resolutivo decimoquinto de la Sentencia del </w:t>
      </w:r>
      <w:r w:rsidR="00AD7CC7" w:rsidRPr="0060123C">
        <w:rPr>
          <w:rFonts w:ascii="Verdana" w:hAnsi="Verdana"/>
          <w:i/>
          <w:iCs/>
          <w:color w:val="000000" w:themeColor="text1"/>
          <w:sz w:val="20"/>
          <w:szCs w:val="20"/>
        </w:rPr>
        <w:t xml:space="preserve">Caso Wong Ho </w:t>
      </w:r>
      <w:proofErr w:type="spellStart"/>
      <w:r w:rsidR="00AD7CC7" w:rsidRPr="0060123C">
        <w:rPr>
          <w:rFonts w:ascii="Verdana" w:hAnsi="Verdana"/>
          <w:i/>
          <w:iCs/>
          <w:color w:val="000000" w:themeColor="text1"/>
          <w:sz w:val="20"/>
          <w:szCs w:val="20"/>
        </w:rPr>
        <w:t>Wing</w:t>
      </w:r>
      <w:proofErr w:type="spellEnd"/>
      <w:r w:rsidR="001E5F0C" w:rsidRPr="0060123C">
        <w:rPr>
          <w:rFonts w:ascii="Verdana" w:hAnsi="Verdana"/>
          <w:color w:val="000000" w:themeColor="text1"/>
          <w:sz w:val="20"/>
          <w:szCs w:val="20"/>
        </w:rPr>
        <w:t>,</w:t>
      </w:r>
      <w:r w:rsidR="002D7417" w:rsidRPr="0060123C">
        <w:rPr>
          <w:rFonts w:ascii="Verdana" w:hAnsi="Verdana"/>
          <w:color w:val="000000" w:themeColor="text1"/>
          <w:sz w:val="20"/>
          <w:szCs w:val="20"/>
        </w:rPr>
        <w:t xml:space="preserve"> </w:t>
      </w:r>
      <w:r w:rsidR="008C5534" w:rsidRPr="0060123C">
        <w:rPr>
          <w:rFonts w:ascii="Verdana" w:hAnsi="Verdana"/>
          <w:color w:val="000000" w:themeColor="text1"/>
          <w:sz w:val="20"/>
          <w:szCs w:val="20"/>
        </w:rPr>
        <w:t>en el punto resolutivo undécimo de la Sentencia</w:t>
      </w:r>
      <w:r w:rsidR="00811D27" w:rsidRPr="0060123C">
        <w:rPr>
          <w:rFonts w:ascii="Verdana" w:hAnsi="Verdana"/>
          <w:color w:val="000000" w:themeColor="text1"/>
          <w:sz w:val="20"/>
          <w:szCs w:val="20"/>
        </w:rPr>
        <w:t xml:space="preserve"> del </w:t>
      </w:r>
      <w:r w:rsidR="00EA281A" w:rsidRPr="0060123C">
        <w:rPr>
          <w:rFonts w:ascii="Verdana" w:hAnsi="Verdana"/>
          <w:i/>
          <w:iCs/>
          <w:color w:val="000000" w:themeColor="text1"/>
          <w:sz w:val="20"/>
          <w:szCs w:val="20"/>
        </w:rPr>
        <w:t>Caso Zegarra Marín</w:t>
      </w:r>
      <w:r w:rsidR="001E5F0C" w:rsidRPr="0060123C">
        <w:rPr>
          <w:rFonts w:ascii="Verdana" w:hAnsi="Verdana"/>
          <w:color w:val="000000" w:themeColor="text1"/>
          <w:sz w:val="20"/>
          <w:szCs w:val="20"/>
        </w:rPr>
        <w:t>,</w:t>
      </w:r>
      <w:r w:rsidR="00EA281A" w:rsidRPr="0060123C">
        <w:rPr>
          <w:rFonts w:ascii="Verdana" w:hAnsi="Verdana"/>
          <w:color w:val="000000" w:themeColor="text1"/>
          <w:sz w:val="20"/>
          <w:szCs w:val="20"/>
        </w:rPr>
        <w:t xml:space="preserve"> y </w:t>
      </w:r>
      <w:r w:rsidR="001E5F0C" w:rsidRPr="0060123C">
        <w:rPr>
          <w:rFonts w:ascii="Verdana" w:hAnsi="Verdana"/>
          <w:color w:val="000000" w:themeColor="text1"/>
          <w:sz w:val="20"/>
          <w:szCs w:val="20"/>
        </w:rPr>
        <w:t xml:space="preserve">en el </w:t>
      </w:r>
      <w:r w:rsidR="003D6384" w:rsidRPr="0060123C">
        <w:rPr>
          <w:rFonts w:ascii="Verdana" w:hAnsi="Verdana"/>
          <w:color w:val="000000" w:themeColor="text1"/>
          <w:sz w:val="20"/>
          <w:szCs w:val="20"/>
        </w:rPr>
        <w:t xml:space="preserve">punto dispositivo undécimo de la Sentencia del </w:t>
      </w:r>
      <w:r w:rsidR="003D6384" w:rsidRPr="0060123C">
        <w:rPr>
          <w:rFonts w:ascii="Verdana" w:hAnsi="Verdana"/>
          <w:i/>
          <w:iCs/>
          <w:color w:val="000000" w:themeColor="text1"/>
          <w:sz w:val="20"/>
          <w:szCs w:val="20"/>
        </w:rPr>
        <w:t>Caso Lagos del Campo</w:t>
      </w:r>
      <w:r w:rsidR="003D6384" w:rsidRPr="0060123C">
        <w:rPr>
          <w:rFonts w:ascii="Verdana" w:hAnsi="Verdana"/>
          <w:color w:val="000000" w:themeColor="text1"/>
          <w:sz w:val="20"/>
          <w:szCs w:val="20"/>
        </w:rPr>
        <w:t>.</w:t>
      </w:r>
      <w:r w:rsidR="00D76A1F" w:rsidRPr="0060123C">
        <w:rPr>
          <w:rFonts w:ascii="Verdana" w:hAnsi="Verdana"/>
          <w:color w:val="000000" w:themeColor="text1"/>
          <w:sz w:val="20"/>
          <w:szCs w:val="20"/>
        </w:rPr>
        <w:t xml:space="preserve"> Al respecto, </w:t>
      </w:r>
      <w:r w:rsidR="003B1C0C" w:rsidRPr="0060123C">
        <w:rPr>
          <w:rFonts w:ascii="Verdana" w:hAnsi="Verdana"/>
          <w:color w:val="000000" w:themeColor="text1"/>
          <w:sz w:val="20"/>
          <w:szCs w:val="20"/>
        </w:rPr>
        <w:t xml:space="preserve">la Corte </w:t>
      </w:r>
      <w:r w:rsidR="00D76A1F" w:rsidRPr="0060123C">
        <w:rPr>
          <w:rFonts w:ascii="Verdana" w:hAnsi="Verdana"/>
          <w:color w:val="000000" w:themeColor="text1"/>
          <w:sz w:val="20"/>
          <w:szCs w:val="20"/>
        </w:rPr>
        <w:t>insta a su pronto cumplimiento</w:t>
      </w:r>
      <w:r w:rsidR="00E361CF" w:rsidRPr="0060123C">
        <w:rPr>
          <w:rFonts w:ascii="Verdana" w:hAnsi="Verdana"/>
          <w:color w:val="000000" w:themeColor="text1"/>
          <w:sz w:val="20"/>
          <w:szCs w:val="20"/>
        </w:rPr>
        <w:t>, a fin de que pueda valorar el cumplimiento total de estas reparaciones, así como el cierre y archivo de tales casos.</w:t>
      </w:r>
    </w:p>
    <w:p w14:paraId="4459B535" w14:textId="6D8F1C04" w:rsidR="005A19DB" w:rsidRPr="0060123C" w:rsidRDefault="0011672D" w:rsidP="005A19DB">
      <w:pPr>
        <w:pStyle w:val="Prrafodelista"/>
        <w:numPr>
          <w:ilvl w:val="0"/>
          <w:numId w:val="5"/>
        </w:numPr>
        <w:spacing w:before="120" w:after="120"/>
        <w:ind w:left="0" w:firstLine="0"/>
        <w:jc w:val="both"/>
        <w:rPr>
          <w:rFonts w:ascii="Verdana" w:hAnsi="Verdana"/>
          <w:color w:val="000000" w:themeColor="text1"/>
          <w:sz w:val="20"/>
          <w:szCs w:val="20"/>
        </w:rPr>
      </w:pPr>
      <w:proofErr w:type="gramStart"/>
      <w:r w:rsidRPr="0060123C">
        <w:rPr>
          <w:rFonts w:ascii="Verdana" w:hAnsi="Verdana"/>
          <w:sz w:val="20"/>
          <w:szCs w:val="20"/>
          <w:lang w:val="es-MX"/>
        </w:rPr>
        <w:t>En razón de</w:t>
      </w:r>
      <w:proofErr w:type="gramEnd"/>
      <w:r w:rsidRPr="0060123C">
        <w:rPr>
          <w:rFonts w:ascii="Verdana" w:hAnsi="Verdana"/>
          <w:sz w:val="20"/>
          <w:szCs w:val="20"/>
          <w:lang w:val="es-MX"/>
        </w:rPr>
        <w:t xml:space="preserve"> lo anterior</w:t>
      </w:r>
      <w:r w:rsidRPr="0060123C">
        <w:rPr>
          <w:rFonts w:ascii="Verdana" w:hAnsi="Verdana"/>
          <w:sz w:val="20"/>
          <w:szCs w:val="20"/>
        </w:rPr>
        <w:t xml:space="preserve">, </w:t>
      </w:r>
      <w:r w:rsidRPr="0060123C">
        <w:rPr>
          <w:rFonts w:ascii="Verdana" w:hAnsi="Verdana"/>
          <w:color w:val="000000" w:themeColor="text1"/>
          <w:sz w:val="20"/>
          <w:szCs w:val="20"/>
        </w:rPr>
        <w:t xml:space="preserve">la Corte requiere que, dentro del plazo establecido en el punto resolutivo </w:t>
      </w:r>
      <w:r w:rsidR="0089272F">
        <w:rPr>
          <w:rFonts w:ascii="Verdana" w:hAnsi="Verdana"/>
          <w:color w:val="000000" w:themeColor="text1"/>
          <w:sz w:val="20"/>
          <w:szCs w:val="20"/>
        </w:rPr>
        <w:t>cuarto</w:t>
      </w:r>
      <w:r w:rsidRPr="0060123C">
        <w:rPr>
          <w:rFonts w:ascii="Verdana" w:hAnsi="Verdana"/>
          <w:color w:val="000000" w:themeColor="text1"/>
          <w:sz w:val="20"/>
          <w:szCs w:val="20"/>
        </w:rPr>
        <w:t xml:space="preserve"> de la presente Resolución, el Estado presente, en un solo documento, información actualizada y detallada sobre el cumplimiento de dichas medidas de reparación, incluyendo lo referente al pago de los intereses moratorios que se han generado por motivo del incumplimiento, acompañando la documentación </w:t>
      </w:r>
      <w:r w:rsidR="0089272F">
        <w:rPr>
          <w:rFonts w:ascii="Verdana" w:hAnsi="Verdana"/>
          <w:color w:val="000000" w:themeColor="text1"/>
          <w:sz w:val="20"/>
          <w:szCs w:val="20"/>
        </w:rPr>
        <w:t xml:space="preserve">probatoria </w:t>
      </w:r>
      <w:r w:rsidRPr="0060123C">
        <w:rPr>
          <w:rFonts w:ascii="Verdana" w:hAnsi="Verdana"/>
          <w:color w:val="000000" w:themeColor="text1"/>
          <w:sz w:val="20"/>
          <w:szCs w:val="20"/>
        </w:rPr>
        <w:t>correspondiente.</w:t>
      </w:r>
    </w:p>
    <w:p w14:paraId="4D9862BA" w14:textId="5A0562D3" w:rsidR="0011672D" w:rsidRDefault="0089272F" w:rsidP="0089272F">
      <w:pPr>
        <w:pStyle w:val="Prrafodelista"/>
        <w:tabs>
          <w:tab w:val="left" w:pos="415"/>
        </w:tabs>
        <w:spacing w:before="120" w:after="120"/>
        <w:ind w:left="0"/>
        <w:jc w:val="both"/>
        <w:rPr>
          <w:rFonts w:ascii="Verdana" w:hAnsi="Verdana"/>
          <w:sz w:val="20"/>
          <w:szCs w:val="20"/>
        </w:rPr>
      </w:pPr>
      <w:r>
        <w:rPr>
          <w:rFonts w:ascii="Verdana" w:hAnsi="Verdana"/>
          <w:sz w:val="20"/>
          <w:szCs w:val="20"/>
        </w:rPr>
        <w:tab/>
      </w:r>
    </w:p>
    <w:p w14:paraId="1BAD2095" w14:textId="5BC7A521" w:rsidR="0089272F" w:rsidRDefault="0089272F" w:rsidP="0089272F">
      <w:pPr>
        <w:pStyle w:val="Prrafodelista"/>
        <w:tabs>
          <w:tab w:val="left" w:pos="415"/>
        </w:tabs>
        <w:spacing w:before="120" w:after="120"/>
        <w:ind w:left="0"/>
        <w:jc w:val="both"/>
        <w:rPr>
          <w:rFonts w:ascii="Verdana" w:hAnsi="Verdana"/>
          <w:sz w:val="20"/>
          <w:szCs w:val="20"/>
        </w:rPr>
      </w:pPr>
    </w:p>
    <w:p w14:paraId="1516DB40" w14:textId="77777777" w:rsidR="0089272F" w:rsidRPr="0089272F" w:rsidRDefault="0089272F" w:rsidP="0089272F">
      <w:pPr>
        <w:pStyle w:val="Prrafodelista"/>
        <w:tabs>
          <w:tab w:val="left" w:pos="415"/>
        </w:tabs>
        <w:spacing w:before="120" w:after="120"/>
        <w:ind w:left="0"/>
        <w:jc w:val="both"/>
        <w:rPr>
          <w:rFonts w:ascii="Verdana" w:hAnsi="Verdana"/>
          <w:sz w:val="20"/>
          <w:szCs w:val="20"/>
        </w:rPr>
      </w:pPr>
    </w:p>
    <w:p w14:paraId="47BFB22A" w14:textId="77777777" w:rsidR="00705DCF" w:rsidRPr="0060123C" w:rsidRDefault="00705DCF" w:rsidP="00705DCF">
      <w:pPr>
        <w:spacing w:after="240" w:line="240" w:lineRule="auto"/>
        <w:jc w:val="both"/>
        <w:rPr>
          <w:rFonts w:ascii="Verdana" w:hAnsi="Verdana"/>
          <w:b/>
          <w:sz w:val="20"/>
          <w:szCs w:val="20"/>
        </w:rPr>
      </w:pPr>
      <w:r w:rsidRPr="0060123C">
        <w:rPr>
          <w:rFonts w:ascii="Verdana" w:hAnsi="Verdana"/>
          <w:b/>
          <w:sz w:val="20"/>
          <w:szCs w:val="20"/>
        </w:rPr>
        <w:lastRenderedPageBreak/>
        <w:t xml:space="preserve">POR TANTO: </w:t>
      </w:r>
    </w:p>
    <w:p w14:paraId="2022D47E" w14:textId="77777777" w:rsidR="00705DCF" w:rsidRPr="0060123C" w:rsidRDefault="00705DCF" w:rsidP="00705DCF">
      <w:pPr>
        <w:spacing w:after="240" w:line="240" w:lineRule="auto"/>
        <w:jc w:val="both"/>
        <w:rPr>
          <w:rFonts w:ascii="Verdana" w:hAnsi="Verdana"/>
          <w:b/>
          <w:sz w:val="20"/>
          <w:szCs w:val="20"/>
        </w:rPr>
      </w:pPr>
      <w:r w:rsidRPr="0060123C">
        <w:rPr>
          <w:rFonts w:ascii="Verdana" w:hAnsi="Verdana"/>
          <w:b/>
          <w:sz w:val="20"/>
          <w:szCs w:val="20"/>
        </w:rPr>
        <w:t>LA CORTE INTERAMERICANA DE DERECHOS HUMANOS,</w:t>
      </w:r>
    </w:p>
    <w:p w14:paraId="488364A1" w14:textId="157885C6" w:rsidR="00705DCF" w:rsidRPr="00EF32BB" w:rsidRDefault="00705DCF" w:rsidP="00EF32BB">
      <w:pPr>
        <w:spacing w:after="240" w:line="240" w:lineRule="auto"/>
        <w:jc w:val="both"/>
        <w:rPr>
          <w:rFonts w:ascii="Verdana" w:hAnsi="Verdana"/>
          <w:sz w:val="20"/>
          <w:szCs w:val="20"/>
        </w:rPr>
      </w:pPr>
      <w:r w:rsidRPr="0060123C">
        <w:rPr>
          <w:rFonts w:ascii="Verdana" w:hAnsi="Verdana"/>
          <w:sz w:val="20"/>
          <w:szCs w:val="20"/>
        </w:rPr>
        <w:t>en el ejercicio de sus atribuciones de supervisión de cumplimiento de sus decisiones, de conformidad con los artículos 33, 62.1, 62.3, 65, 67 y 68.1 de la Convención Americana sobre Derechos Humanos, 24, 25 y 30 del Estatuto, y 31.2 y 69 de su Reglamento,</w:t>
      </w:r>
    </w:p>
    <w:p w14:paraId="73B85DC2" w14:textId="77777777" w:rsidR="00705DCF" w:rsidRPr="0060123C" w:rsidRDefault="00705DCF" w:rsidP="00E565B8">
      <w:pPr>
        <w:spacing w:before="120" w:after="120" w:line="240" w:lineRule="auto"/>
        <w:jc w:val="both"/>
        <w:rPr>
          <w:rFonts w:ascii="Verdana" w:hAnsi="Verdana"/>
          <w:sz w:val="20"/>
          <w:szCs w:val="20"/>
        </w:rPr>
      </w:pPr>
      <w:r w:rsidRPr="0060123C">
        <w:rPr>
          <w:rFonts w:ascii="Verdana" w:hAnsi="Verdana"/>
          <w:b/>
          <w:sz w:val="20"/>
          <w:szCs w:val="20"/>
        </w:rPr>
        <w:t>RESUELVE:</w:t>
      </w:r>
    </w:p>
    <w:p w14:paraId="5D849E30" w14:textId="77777777" w:rsidR="00705DCF" w:rsidRPr="0060123C" w:rsidRDefault="00705DCF" w:rsidP="00E565B8">
      <w:pPr>
        <w:numPr>
          <w:ilvl w:val="0"/>
          <w:numId w:val="15"/>
        </w:numPr>
        <w:spacing w:before="120" w:after="120" w:line="240" w:lineRule="auto"/>
        <w:ind w:left="0" w:firstLine="0"/>
        <w:jc w:val="both"/>
        <w:rPr>
          <w:rFonts w:ascii="Verdana" w:hAnsi="Verdana"/>
          <w:sz w:val="20"/>
          <w:szCs w:val="20"/>
          <w:lang w:val="es-MX"/>
        </w:rPr>
      </w:pPr>
      <w:r w:rsidRPr="0060123C">
        <w:rPr>
          <w:rFonts w:ascii="Verdana" w:hAnsi="Verdana"/>
          <w:sz w:val="20"/>
          <w:szCs w:val="20"/>
          <w:lang w:val="es-MX"/>
        </w:rPr>
        <w:t>De conformidad con lo indicado en la parte considerativa de la presente Resolución, que se encuentran pendientes de cumplimiento las medidas relativas a:</w:t>
      </w:r>
    </w:p>
    <w:p w14:paraId="23C247CF" w14:textId="64CB5D56" w:rsidR="0015312A" w:rsidRPr="0060123C" w:rsidRDefault="0015312A" w:rsidP="00E565B8">
      <w:pPr>
        <w:pStyle w:val="Prrafodelista"/>
        <w:numPr>
          <w:ilvl w:val="1"/>
          <w:numId w:val="15"/>
        </w:numPr>
        <w:spacing w:before="120" w:after="120"/>
        <w:ind w:left="709"/>
        <w:jc w:val="both"/>
        <w:rPr>
          <w:rFonts w:ascii="Verdana" w:hAnsi="Verdana"/>
          <w:color w:val="000000" w:themeColor="text1"/>
          <w:sz w:val="20"/>
          <w:szCs w:val="20"/>
        </w:rPr>
      </w:pPr>
      <w:r w:rsidRPr="0060123C">
        <w:rPr>
          <w:rFonts w:ascii="Verdana" w:hAnsi="Verdana"/>
          <w:color w:val="000000" w:themeColor="text1"/>
          <w:sz w:val="20"/>
          <w:szCs w:val="20"/>
        </w:rPr>
        <w:t xml:space="preserve">pagar la cantidad fijada en el párrafo 200 de la Sentencia, por concepto de reintegro de costas y gastos </w:t>
      </w:r>
      <w:r w:rsidR="00515422">
        <w:rPr>
          <w:rFonts w:ascii="Verdana" w:hAnsi="Verdana"/>
          <w:color w:val="000000" w:themeColor="text1"/>
          <w:sz w:val="20"/>
          <w:szCs w:val="20"/>
        </w:rPr>
        <w:t xml:space="preserve">en el </w:t>
      </w:r>
      <w:r w:rsidR="00515422" w:rsidRPr="0060123C">
        <w:rPr>
          <w:rFonts w:ascii="Verdana" w:hAnsi="Verdana"/>
          <w:i/>
          <w:iCs/>
          <w:color w:val="000000" w:themeColor="text1"/>
          <w:sz w:val="20"/>
          <w:szCs w:val="20"/>
        </w:rPr>
        <w:t>Caso Tarazona Arrieta y otros</w:t>
      </w:r>
      <w:r w:rsidR="00515422" w:rsidRPr="0060123C">
        <w:rPr>
          <w:rFonts w:ascii="Verdana" w:hAnsi="Verdana"/>
          <w:color w:val="000000" w:themeColor="text1"/>
          <w:sz w:val="20"/>
          <w:szCs w:val="20"/>
        </w:rPr>
        <w:t xml:space="preserve"> </w:t>
      </w:r>
      <w:r w:rsidRPr="0060123C">
        <w:rPr>
          <w:rFonts w:ascii="Verdana" w:hAnsi="Verdana"/>
          <w:color w:val="000000" w:themeColor="text1"/>
          <w:sz w:val="20"/>
          <w:szCs w:val="20"/>
        </w:rPr>
        <w:t>(</w:t>
      </w:r>
      <w:r w:rsidRPr="0060123C">
        <w:rPr>
          <w:rFonts w:ascii="Verdana" w:hAnsi="Verdana"/>
          <w:i/>
          <w:iCs/>
          <w:color w:val="000000" w:themeColor="text1"/>
          <w:sz w:val="20"/>
          <w:szCs w:val="20"/>
        </w:rPr>
        <w:t>punto resolutivo octavo de la Sentencia</w:t>
      </w:r>
      <w:r w:rsidRPr="0060123C">
        <w:rPr>
          <w:rFonts w:ascii="Verdana" w:hAnsi="Verdana"/>
          <w:color w:val="000000" w:themeColor="text1"/>
          <w:sz w:val="20"/>
          <w:szCs w:val="20"/>
        </w:rPr>
        <w:t xml:space="preserve">); </w:t>
      </w:r>
    </w:p>
    <w:p w14:paraId="74E44FDF" w14:textId="2D88F419" w:rsidR="0015312A" w:rsidRPr="0060123C" w:rsidRDefault="0015312A" w:rsidP="00E565B8">
      <w:pPr>
        <w:pStyle w:val="Prrafodelista"/>
        <w:numPr>
          <w:ilvl w:val="1"/>
          <w:numId w:val="15"/>
        </w:numPr>
        <w:spacing w:before="120" w:after="120"/>
        <w:ind w:left="709"/>
        <w:jc w:val="both"/>
        <w:rPr>
          <w:rFonts w:ascii="Verdana" w:hAnsi="Verdana"/>
          <w:color w:val="000000" w:themeColor="text1"/>
          <w:sz w:val="20"/>
          <w:szCs w:val="20"/>
        </w:rPr>
      </w:pPr>
      <w:r w:rsidRPr="0060123C">
        <w:rPr>
          <w:rFonts w:ascii="Verdana" w:hAnsi="Verdana"/>
          <w:color w:val="000000" w:themeColor="text1"/>
          <w:sz w:val="20"/>
          <w:szCs w:val="20"/>
        </w:rPr>
        <w:t xml:space="preserve">pagar las cantidades fijadas en </w:t>
      </w:r>
      <w:r w:rsidR="00952F32">
        <w:rPr>
          <w:rFonts w:ascii="Verdana" w:hAnsi="Verdana"/>
          <w:color w:val="000000" w:themeColor="text1"/>
          <w:sz w:val="20"/>
          <w:szCs w:val="20"/>
        </w:rPr>
        <w:t>los</w:t>
      </w:r>
      <w:r w:rsidRPr="0060123C">
        <w:rPr>
          <w:rFonts w:ascii="Verdana" w:hAnsi="Verdana"/>
          <w:color w:val="000000" w:themeColor="text1"/>
          <w:sz w:val="20"/>
          <w:szCs w:val="20"/>
        </w:rPr>
        <w:t xml:space="preserve"> párrafo</w:t>
      </w:r>
      <w:r w:rsidR="00952F32">
        <w:rPr>
          <w:rFonts w:ascii="Verdana" w:hAnsi="Verdana"/>
          <w:color w:val="000000" w:themeColor="text1"/>
          <w:sz w:val="20"/>
          <w:szCs w:val="20"/>
        </w:rPr>
        <w:t>s</w:t>
      </w:r>
      <w:r w:rsidRPr="0060123C">
        <w:rPr>
          <w:rFonts w:ascii="Verdana" w:hAnsi="Verdana"/>
          <w:color w:val="000000" w:themeColor="text1"/>
          <w:sz w:val="20"/>
          <w:szCs w:val="20"/>
        </w:rPr>
        <w:t xml:space="preserve"> 194</w:t>
      </w:r>
      <w:r w:rsidR="00952F32">
        <w:rPr>
          <w:rFonts w:ascii="Verdana" w:hAnsi="Verdana"/>
          <w:color w:val="000000" w:themeColor="text1"/>
          <w:sz w:val="20"/>
          <w:szCs w:val="20"/>
        </w:rPr>
        <w:t xml:space="preserve"> y 201</w:t>
      </w:r>
      <w:r w:rsidRPr="0060123C">
        <w:rPr>
          <w:rFonts w:ascii="Verdana" w:hAnsi="Verdana"/>
          <w:color w:val="000000" w:themeColor="text1"/>
          <w:sz w:val="20"/>
          <w:szCs w:val="20"/>
        </w:rPr>
        <w:t xml:space="preserve"> de la Sentencia, por concepto de indemnización compensatoria y por el reintegro de las costas y gastos </w:t>
      </w:r>
      <w:r w:rsidR="00515422">
        <w:rPr>
          <w:rFonts w:ascii="Verdana" w:hAnsi="Verdana"/>
          <w:color w:val="000000" w:themeColor="text1"/>
          <w:sz w:val="20"/>
          <w:szCs w:val="20"/>
        </w:rPr>
        <w:t xml:space="preserve">en el </w:t>
      </w:r>
      <w:r w:rsidR="00515422" w:rsidRPr="0060123C">
        <w:rPr>
          <w:rFonts w:ascii="Verdana" w:hAnsi="Verdana"/>
          <w:i/>
          <w:iCs/>
          <w:color w:val="000000" w:themeColor="text1"/>
          <w:sz w:val="20"/>
          <w:szCs w:val="20"/>
        </w:rPr>
        <w:t>Caso Canales Huapaya y otros</w:t>
      </w:r>
      <w:r w:rsidR="00515422" w:rsidRPr="0060123C">
        <w:rPr>
          <w:rFonts w:ascii="Verdana" w:hAnsi="Verdana"/>
          <w:color w:val="000000" w:themeColor="text1"/>
          <w:sz w:val="20"/>
          <w:szCs w:val="20"/>
        </w:rPr>
        <w:t xml:space="preserve"> </w:t>
      </w:r>
      <w:r w:rsidRPr="0060123C">
        <w:rPr>
          <w:rFonts w:ascii="Verdana" w:hAnsi="Verdana"/>
          <w:color w:val="000000" w:themeColor="text1"/>
          <w:sz w:val="20"/>
          <w:szCs w:val="20"/>
        </w:rPr>
        <w:t>(</w:t>
      </w:r>
      <w:r w:rsidRPr="0060123C">
        <w:rPr>
          <w:rFonts w:ascii="Verdana" w:hAnsi="Verdana"/>
          <w:i/>
          <w:iCs/>
          <w:color w:val="000000" w:themeColor="text1"/>
          <w:sz w:val="20"/>
          <w:szCs w:val="20"/>
        </w:rPr>
        <w:t>punto resolutivo séptimo de la Sentencia</w:t>
      </w:r>
      <w:r w:rsidRPr="0060123C">
        <w:rPr>
          <w:rFonts w:ascii="Verdana" w:hAnsi="Verdana"/>
          <w:color w:val="000000" w:themeColor="text1"/>
          <w:sz w:val="20"/>
          <w:szCs w:val="20"/>
        </w:rPr>
        <w:t xml:space="preserve">); </w:t>
      </w:r>
    </w:p>
    <w:p w14:paraId="1CC2E39F" w14:textId="419937C7" w:rsidR="0015312A" w:rsidRPr="0060123C" w:rsidRDefault="0015312A" w:rsidP="00E565B8">
      <w:pPr>
        <w:pStyle w:val="Prrafodelista"/>
        <w:numPr>
          <w:ilvl w:val="1"/>
          <w:numId w:val="15"/>
        </w:numPr>
        <w:spacing w:before="120" w:after="120"/>
        <w:ind w:left="709"/>
        <w:jc w:val="both"/>
        <w:rPr>
          <w:rFonts w:ascii="Verdana" w:hAnsi="Verdana"/>
          <w:color w:val="000000" w:themeColor="text1"/>
          <w:sz w:val="20"/>
          <w:szCs w:val="20"/>
        </w:rPr>
      </w:pPr>
      <w:r w:rsidRPr="0060123C">
        <w:rPr>
          <w:rFonts w:ascii="Verdana" w:hAnsi="Verdana"/>
          <w:color w:val="000000" w:themeColor="text1"/>
          <w:sz w:val="20"/>
          <w:szCs w:val="20"/>
        </w:rPr>
        <w:t xml:space="preserve">pagar las cantidades fijadas en los párrafos 317 y 322 de la Sentencia, por concepto de indemnización por daño material e inmaterial y por el reintegro de costas y gastos </w:t>
      </w:r>
      <w:r w:rsidR="00515422">
        <w:rPr>
          <w:rFonts w:ascii="Verdana" w:hAnsi="Verdana"/>
          <w:color w:val="000000" w:themeColor="text1"/>
          <w:sz w:val="20"/>
          <w:szCs w:val="20"/>
        </w:rPr>
        <w:t xml:space="preserve">en el </w:t>
      </w:r>
      <w:r w:rsidR="00515422" w:rsidRPr="0060123C">
        <w:rPr>
          <w:rFonts w:ascii="Verdana" w:hAnsi="Verdana"/>
          <w:i/>
          <w:iCs/>
          <w:color w:val="000000" w:themeColor="text1"/>
          <w:sz w:val="20"/>
          <w:szCs w:val="20"/>
        </w:rPr>
        <w:t xml:space="preserve">Caso Wong Ho </w:t>
      </w:r>
      <w:proofErr w:type="spellStart"/>
      <w:r w:rsidR="00515422" w:rsidRPr="0060123C">
        <w:rPr>
          <w:rFonts w:ascii="Verdana" w:hAnsi="Verdana"/>
          <w:i/>
          <w:iCs/>
          <w:color w:val="000000" w:themeColor="text1"/>
          <w:sz w:val="20"/>
          <w:szCs w:val="20"/>
        </w:rPr>
        <w:t>Wing</w:t>
      </w:r>
      <w:proofErr w:type="spellEnd"/>
      <w:r w:rsidR="00515422" w:rsidRPr="0060123C">
        <w:rPr>
          <w:rFonts w:ascii="Verdana" w:hAnsi="Verdana"/>
          <w:color w:val="000000" w:themeColor="text1"/>
          <w:sz w:val="20"/>
          <w:szCs w:val="20"/>
        </w:rPr>
        <w:t xml:space="preserve"> </w:t>
      </w:r>
      <w:r w:rsidRPr="0060123C">
        <w:rPr>
          <w:rFonts w:ascii="Verdana" w:hAnsi="Verdana"/>
          <w:color w:val="000000" w:themeColor="text1"/>
          <w:sz w:val="20"/>
          <w:szCs w:val="20"/>
        </w:rPr>
        <w:t>(</w:t>
      </w:r>
      <w:r w:rsidRPr="0060123C">
        <w:rPr>
          <w:rFonts w:ascii="Verdana" w:hAnsi="Verdana"/>
          <w:i/>
          <w:iCs/>
          <w:color w:val="000000" w:themeColor="text1"/>
          <w:sz w:val="20"/>
          <w:szCs w:val="20"/>
        </w:rPr>
        <w:t>punto resolutivo decimoquinto de la Sentencia</w:t>
      </w:r>
      <w:r w:rsidRPr="0060123C">
        <w:rPr>
          <w:rFonts w:ascii="Verdana" w:hAnsi="Verdana"/>
          <w:color w:val="000000" w:themeColor="text1"/>
          <w:sz w:val="20"/>
          <w:szCs w:val="20"/>
        </w:rPr>
        <w:t xml:space="preserve">); </w:t>
      </w:r>
    </w:p>
    <w:p w14:paraId="0370CDBF" w14:textId="2DA7411F" w:rsidR="0015312A" w:rsidRPr="0060123C" w:rsidRDefault="0015312A" w:rsidP="00E565B8">
      <w:pPr>
        <w:pStyle w:val="Prrafodelista"/>
        <w:numPr>
          <w:ilvl w:val="1"/>
          <w:numId w:val="15"/>
        </w:numPr>
        <w:spacing w:before="120" w:after="120"/>
        <w:ind w:left="709"/>
        <w:jc w:val="both"/>
        <w:rPr>
          <w:rFonts w:ascii="Verdana" w:hAnsi="Verdana"/>
          <w:color w:val="000000" w:themeColor="text1"/>
          <w:sz w:val="20"/>
          <w:szCs w:val="20"/>
        </w:rPr>
      </w:pPr>
      <w:r w:rsidRPr="0060123C">
        <w:rPr>
          <w:rFonts w:ascii="Verdana" w:hAnsi="Verdana"/>
          <w:color w:val="000000" w:themeColor="text1"/>
          <w:sz w:val="20"/>
          <w:szCs w:val="20"/>
        </w:rPr>
        <w:t xml:space="preserve">pagar las cantidades fijadas en los párrafos 226 y 231 de la Sentencia, por concepto de compensación por daño inmaterial y por el reintegro de costas y gastos </w:t>
      </w:r>
      <w:r w:rsidR="00515422">
        <w:rPr>
          <w:rFonts w:ascii="Verdana" w:hAnsi="Verdana"/>
          <w:color w:val="000000" w:themeColor="text1"/>
          <w:sz w:val="20"/>
          <w:szCs w:val="20"/>
        </w:rPr>
        <w:t xml:space="preserve">en el </w:t>
      </w:r>
      <w:r w:rsidR="00515422" w:rsidRPr="0060123C">
        <w:rPr>
          <w:rFonts w:ascii="Verdana" w:hAnsi="Verdana"/>
          <w:i/>
          <w:iCs/>
          <w:color w:val="000000" w:themeColor="text1"/>
          <w:sz w:val="20"/>
          <w:szCs w:val="20"/>
        </w:rPr>
        <w:t>Caso Zegarra Marín</w:t>
      </w:r>
      <w:r w:rsidR="00515422" w:rsidRPr="0060123C">
        <w:rPr>
          <w:rFonts w:ascii="Verdana" w:hAnsi="Verdana"/>
          <w:color w:val="000000" w:themeColor="text1"/>
          <w:sz w:val="20"/>
          <w:szCs w:val="20"/>
        </w:rPr>
        <w:t xml:space="preserve"> </w:t>
      </w:r>
      <w:r w:rsidRPr="0060123C">
        <w:rPr>
          <w:rFonts w:ascii="Verdana" w:hAnsi="Verdana"/>
          <w:color w:val="000000" w:themeColor="text1"/>
          <w:sz w:val="20"/>
          <w:szCs w:val="20"/>
        </w:rPr>
        <w:t>(</w:t>
      </w:r>
      <w:r w:rsidRPr="0060123C">
        <w:rPr>
          <w:rFonts w:ascii="Verdana" w:hAnsi="Verdana"/>
          <w:i/>
          <w:iCs/>
          <w:color w:val="000000" w:themeColor="text1"/>
          <w:sz w:val="20"/>
          <w:szCs w:val="20"/>
        </w:rPr>
        <w:t xml:space="preserve">punto resolutivo </w:t>
      </w:r>
      <w:r w:rsidR="00402934" w:rsidRPr="0060123C">
        <w:rPr>
          <w:rFonts w:ascii="Verdana" w:hAnsi="Verdana"/>
          <w:i/>
          <w:iCs/>
          <w:color w:val="000000" w:themeColor="text1"/>
          <w:sz w:val="20"/>
          <w:szCs w:val="20"/>
        </w:rPr>
        <w:t>undécimo</w:t>
      </w:r>
      <w:r w:rsidRPr="0060123C">
        <w:rPr>
          <w:rFonts w:ascii="Verdana" w:hAnsi="Verdana"/>
          <w:i/>
          <w:iCs/>
          <w:color w:val="000000" w:themeColor="text1"/>
          <w:sz w:val="20"/>
          <w:szCs w:val="20"/>
        </w:rPr>
        <w:t xml:space="preserve"> de la Sentencia</w:t>
      </w:r>
      <w:r w:rsidRPr="0060123C">
        <w:rPr>
          <w:rFonts w:ascii="Verdana" w:hAnsi="Verdana"/>
          <w:color w:val="000000" w:themeColor="text1"/>
          <w:sz w:val="20"/>
          <w:szCs w:val="20"/>
        </w:rPr>
        <w:t>)</w:t>
      </w:r>
      <w:r w:rsidR="00952F32">
        <w:rPr>
          <w:rFonts w:ascii="Verdana" w:hAnsi="Verdana"/>
          <w:color w:val="000000" w:themeColor="text1"/>
          <w:sz w:val="20"/>
          <w:szCs w:val="20"/>
        </w:rPr>
        <w:t>, y</w:t>
      </w:r>
    </w:p>
    <w:p w14:paraId="059D06E8" w14:textId="71649C63" w:rsidR="0015312A" w:rsidRPr="0060123C" w:rsidRDefault="0015312A" w:rsidP="00E565B8">
      <w:pPr>
        <w:pStyle w:val="Prrafodelista"/>
        <w:numPr>
          <w:ilvl w:val="1"/>
          <w:numId w:val="15"/>
        </w:numPr>
        <w:spacing w:before="120" w:after="120"/>
        <w:ind w:left="709"/>
        <w:jc w:val="both"/>
        <w:rPr>
          <w:rFonts w:ascii="Verdana" w:hAnsi="Verdana"/>
          <w:color w:val="000000" w:themeColor="text1"/>
          <w:sz w:val="20"/>
          <w:szCs w:val="20"/>
        </w:rPr>
      </w:pPr>
      <w:r w:rsidRPr="0060123C">
        <w:rPr>
          <w:rFonts w:ascii="Verdana" w:hAnsi="Verdana"/>
          <w:color w:val="000000" w:themeColor="text1"/>
          <w:sz w:val="20"/>
          <w:szCs w:val="20"/>
        </w:rPr>
        <w:t>pagar las cantidades fijadas en los párrafos 215, 216, 222 y 227 de la Sentencia, por concepto de daño material e inmaterial</w:t>
      </w:r>
      <w:r w:rsidR="0045771A" w:rsidRPr="0060123C">
        <w:rPr>
          <w:rFonts w:ascii="Verdana" w:hAnsi="Verdana"/>
          <w:color w:val="000000" w:themeColor="text1"/>
          <w:sz w:val="20"/>
          <w:szCs w:val="20"/>
        </w:rPr>
        <w:t xml:space="preserve">, por la pérdida de la posibilidad de acceder a una pensión y beneficios sociales, </w:t>
      </w:r>
      <w:r w:rsidRPr="0060123C">
        <w:rPr>
          <w:rFonts w:ascii="Verdana" w:hAnsi="Verdana"/>
          <w:color w:val="000000" w:themeColor="text1"/>
          <w:sz w:val="20"/>
          <w:szCs w:val="20"/>
        </w:rPr>
        <w:t xml:space="preserve">y por el reintegro de costas y gastos </w:t>
      </w:r>
      <w:r w:rsidR="00515422">
        <w:rPr>
          <w:rFonts w:ascii="Verdana" w:hAnsi="Verdana"/>
          <w:color w:val="000000" w:themeColor="text1"/>
          <w:sz w:val="20"/>
          <w:szCs w:val="20"/>
        </w:rPr>
        <w:t xml:space="preserve">en el </w:t>
      </w:r>
      <w:r w:rsidR="00515422" w:rsidRPr="0060123C">
        <w:rPr>
          <w:rFonts w:ascii="Verdana" w:hAnsi="Verdana"/>
          <w:i/>
          <w:iCs/>
          <w:color w:val="000000" w:themeColor="text1"/>
          <w:sz w:val="20"/>
          <w:szCs w:val="20"/>
        </w:rPr>
        <w:t>Caso Lagos del Campo</w:t>
      </w:r>
      <w:r w:rsidR="00515422" w:rsidRPr="0060123C">
        <w:rPr>
          <w:rFonts w:ascii="Verdana" w:hAnsi="Verdana"/>
          <w:color w:val="000000" w:themeColor="text1"/>
          <w:sz w:val="20"/>
          <w:szCs w:val="20"/>
        </w:rPr>
        <w:t xml:space="preserve"> </w:t>
      </w:r>
      <w:r w:rsidRPr="0060123C">
        <w:rPr>
          <w:rFonts w:ascii="Verdana" w:hAnsi="Verdana"/>
          <w:color w:val="000000" w:themeColor="text1"/>
          <w:sz w:val="20"/>
          <w:szCs w:val="20"/>
        </w:rPr>
        <w:t>(</w:t>
      </w:r>
      <w:r w:rsidRPr="0060123C">
        <w:rPr>
          <w:rFonts w:ascii="Verdana" w:hAnsi="Verdana"/>
          <w:i/>
          <w:iCs/>
          <w:color w:val="000000" w:themeColor="text1"/>
          <w:sz w:val="20"/>
          <w:szCs w:val="20"/>
        </w:rPr>
        <w:t>punto dispositivo undécimo de la Sentencia</w:t>
      </w:r>
      <w:r w:rsidRPr="0060123C">
        <w:rPr>
          <w:rFonts w:ascii="Verdana" w:hAnsi="Verdana"/>
          <w:color w:val="000000" w:themeColor="text1"/>
          <w:sz w:val="20"/>
          <w:szCs w:val="20"/>
        </w:rPr>
        <w:t>).</w:t>
      </w:r>
    </w:p>
    <w:p w14:paraId="14B3464E" w14:textId="0101934B" w:rsidR="00705DCF" w:rsidRPr="0060123C" w:rsidRDefault="00705DCF" w:rsidP="00E565B8">
      <w:pPr>
        <w:numPr>
          <w:ilvl w:val="0"/>
          <w:numId w:val="15"/>
        </w:numPr>
        <w:spacing w:before="120" w:after="120" w:line="240" w:lineRule="auto"/>
        <w:ind w:left="0" w:firstLine="0"/>
        <w:jc w:val="both"/>
        <w:rPr>
          <w:rFonts w:ascii="Verdana" w:hAnsi="Verdana"/>
          <w:sz w:val="20"/>
          <w:szCs w:val="20"/>
          <w:lang w:val="es-MX"/>
        </w:rPr>
      </w:pPr>
      <w:r w:rsidRPr="0060123C">
        <w:rPr>
          <w:rFonts w:ascii="Verdana" w:hAnsi="Verdana"/>
          <w:sz w:val="20"/>
          <w:szCs w:val="20"/>
          <w:lang w:val="es-MX"/>
        </w:rPr>
        <w:t xml:space="preserve">Mantener abierto el procedimiento de supervisión de cumplimiento respecto de las medidas de reparación </w:t>
      </w:r>
      <w:r w:rsidR="0015312A" w:rsidRPr="0060123C">
        <w:rPr>
          <w:rFonts w:ascii="Verdana" w:hAnsi="Verdana"/>
          <w:sz w:val="20"/>
          <w:szCs w:val="20"/>
          <w:lang w:val="es-MX"/>
        </w:rPr>
        <w:t>indicadas en el punto resolutivo primero de esta Resolución</w:t>
      </w:r>
      <w:r w:rsidRPr="0060123C">
        <w:rPr>
          <w:rFonts w:ascii="Verdana" w:hAnsi="Verdana"/>
          <w:sz w:val="20"/>
          <w:szCs w:val="20"/>
          <w:lang w:val="es-MX"/>
        </w:rPr>
        <w:t>.</w:t>
      </w:r>
    </w:p>
    <w:p w14:paraId="3C9CED03" w14:textId="26EA33F0" w:rsidR="00705DCF" w:rsidRPr="0060123C" w:rsidRDefault="00705DCF" w:rsidP="00E565B8">
      <w:pPr>
        <w:numPr>
          <w:ilvl w:val="0"/>
          <w:numId w:val="15"/>
        </w:numPr>
        <w:spacing w:before="120" w:after="120" w:line="240" w:lineRule="auto"/>
        <w:ind w:left="0" w:firstLine="0"/>
        <w:jc w:val="both"/>
        <w:rPr>
          <w:rFonts w:ascii="Verdana" w:hAnsi="Verdana"/>
          <w:sz w:val="20"/>
          <w:szCs w:val="20"/>
          <w:lang w:val="es-MX"/>
        </w:rPr>
      </w:pPr>
      <w:r w:rsidRPr="0060123C">
        <w:rPr>
          <w:rFonts w:ascii="Verdana" w:hAnsi="Verdana"/>
          <w:sz w:val="20"/>
          <w:szCs w:val="20"/>
          <w:lang w:val="es-MX"/>
        </w:rPr>
        <w:t xml:space="preserve">Disponer que el Estado del Perú adopte, en definitiva y a la mayor brevedad posible, las medidas que sean necesarias para dar efectivo y pronto cumplimiento a las reparaciones indicadas en el punto resolutivo </w:t>
      </w:r>
      <w:r w:rsidR="00DC4DAB" w:rsidRPr="0060123C">
        <w:rPr>
          <w:rFonts w:ascii="Verdana" w:hAnsi="Verdana"/>
          <w:sz w:val="20"/>
          <w:szCs w:val="20"/>
          <w:lang w:val="es-MX"/>
        </w:rPr>
        <w:t>primero</w:t>
      </w:r>
      <w:r w:rsidRPr="0060123C">
        <w:rPr>
          <w:rFonts w:ascii="Verdana" w:hAnsi="Verdana"/>
          <w:sz w:val="20"/>
          <w:szCs w:val="20"/>
          <w:lang w:val="es-MX"/>
        </w:rPr>
        <w:t>, de acuerdo con lo considerado en la presente Resolución, y con lo estipulado en el artículo 68.1 de la Convención Americana sobre Derechos Humanos.</w:t>
      </w:r>
    </w:p>
    <w:p w14:paraId="6B3D724A" w14:textId="3D1B1B71" w:rsidR="00705DCF" w:rsidRPr="0060123C" w:rsidRDefault="00705DCF" w:rsidP="00E565B8">
      <w:pPr>
        <w:numPr>
          <w:ilvl w:val="0"/>
          <w:numId w:val="15"/>
        </w:numPr>
        <w:spacing w:before="120" w:after="120" w:line="240" w:lineRule="auto"/>
        <w:ind w:left="0" w:firstLine="0"/>
        <w:jc w:val="both"/>
        <w:rPr>
          <w:rFonts w:ascii="Verdana" w:hAnsi="Verdana"/>
          <w:sz w:val="20"/>
          <w:szCs w:val="20"/>
          <w:lang w:val="es-MX"/>
        </w:rPr>
      </w:pPr>
      <w:r w:rsidRPr="0060123C">
        <w:rPr>
          <w:rFonts w:ascii="Verdana" w:hAnsi="Verdana"/>
          <w:sz w:val="20"/>
          <w:szCs w:val="20"/>
          <w:lang w:val="es-MX"/>
        </w:rPr>
        <w:t xml:space="preserve">Disponer que el Estado del Perú presente a la Corte Interamericana de Derechos Humanos, a más tardar el </w:t>
      </w:r>
      <w:r w:rsidR="002D364C" w:rsidRPr="0060123C">
        <w:rPr>
          <w:rFonts w:ascii="Verdana" w:hAnsi="Verdana"/>
          <w:sz w:val="20"/>
          <w:szCs w:val="20"/>
          <w:lang w:val="es-MX"/>
        </w:rPr>
        <w:t>5</w:t>
      </w:r>
      <w:r w:rsidRPr="0060123C">
        <w:rPr>
          <w:rFonts w:ascii="Verdana" w:hAnsi="Verdana"/>
          <w:sz w:val="20"/>
          <w:szCs w:val="20"/>
          <w:lang w:val="es-MX"/>
        </w:rPr>
        <w:t xml:space="preserve"> de </w:t>
      </w:r>
      <w:r w:rsidR="0015312A" w:rsidRPr="0060123C">
        <w:rPr>
          <w:rFonts w:ascii="Verdana" w:hAnsi="Verdana"/>
          <w:sz w:val="20"/>
          <w:szCs w:val="20"/>
          <w:lang w:val="es-MX"/>
        </w:rPr>
        <w:t>septiembre</w:t>
      </w:r>
      <w:r w:rsidRPr="0060123C">
        <w:rPr>
          <w:rFonts w:ascii="Verdana" w:hAnsi="Verdana"/>
          <w:sz w:val="20"/>
          <w:szCs w:val="20"/>
          <w:lang w:val="es-MX"/>
        </w:rPr>
        <w:t xml:space="preserve"> de 202</w:t>
      </w:r>
      <w:r w:rsidR="00DC4DAB" w:rsidRPr="0060123C">
        <w:rPr>
          <w:rFonts w:ascii="Verdana" w:hAnsi="Verdana"/>
          <w:sz w:val="20"/>
          <w:szCs w:val="20"/>
          <w:lang w:val="es-MX"/>
        </w:rPr>
        <w:t>2</w:t>
      </w:r>
      <w:r w:rsidRPr="0060123C">
        <w:rPr>
          <w:rFonts w:ascii="Verdana" w:hAnsi="Verdana"/>
          <w:sz w:val="20"/>
          <w:szCs w:val="20"/>
          <w:lang w:val="es-MX"/>
        </w:rPr>
        <w:t xml:space="preserve">, </w:t>
      </w:r>
      <w:r w:rsidR="002D364C" w:rsidRPr="0060123C">
        <w:rPr>
          <w:rFonts w:ascii="Verdana" w:hAnsi="Verdana"/>
          <w:color w:val="000000" w:themeColor="text1"/>
          <w:sz w:val="20"/>
          <w:szCs w:val="20"/>
        </w:rPr>
        <w:t>en un solo documento</w:t>
      </w:r>
      <w:r w:rsidR="002D364C" w:rsidRPr="0060123C">
        <w:rPr>
          <w:rFonts w:ascii="Verdana" w:hAnsi="Verdana"/>
          <w:sz w:val="20"/>
          <w:szCs w:val="20"/>
          <w:lang w:val="es-MX"/>
        </w:rPr>
        <w:t xml:space="preserve">, </w:t>
      </w:r>
      <w:r w:rsidRPr="0060123C">
        <w:rPr>
          <w:rFonts w:ascii="Verdana" w:hAnsi="Verdana"/>
          <w:sz w:val="20"/>
          <w:szCs w:val="20"/>
          <w:lang w:val="es-MX"/>
        </w:rPr>
        <w:t xml:space="preserve">un informe sobre el cumplimiento de las medidas de reparación indicadas en el punto resolutivo </w:t>
      </w:r>
      <w:r w:rsidR="002D364C" w:rsidRPr="0060123C">
        <w:rPr>
          <w:rFonts w:ascii="Verdana" w:hAnsi="Verdana"/>
          <w:sz w:val="20"/>
          <w:szCs w:val="20"/>
          <w:lang w:val="es-MX"/>
        </w:rPr>
        <w:t>primero</w:t>
      </w:r>
      <w:r w:rsidRPr="0060123C">
        <w:rPr>
          <w:rFonts w:ascii="Verdana" w:hAnsi="Verdana"/>
          <w:sz w:val="20"/>
          <w:szCs w:val="20"/>
          <w:lang w:val="es-MX"/>
        </w:rPr>
        <w:t xml:space="preserve"> de la presente Resolución, de conformidad con lo indicado en </w:t>
      </w:r>
      <w:r w:rsidR="00DC4DAB" w:rsidRPr="0060123C">
        <w:rPr>
          <w:rFonts w:ascii="Verdana" w:hAnsi="Verdana"/>
          <w:sz w:val="20"/>
          <w:szCs w:val="20"/>
          <w:lang w:val="es-MX"/>
        </w:rPr>
        <w:t>los</w:t>
      </w:r>
      <w:r w:rsidRPr="0060123C">
        <w:rPr>
          <w:rFonts w:ascii="Verdana" w:hAnsi="Verdana"/>
          <w:sz w:val="20"/>
          <w:szCs w:val="20"/>
          <w:lang w:val="es-MX"/>
        </w:rPr>
        <w:t xml:space="preserve"> Considerando </w:t>
      </w:r>
      <w:r w:rsidR="0064130C" w:rsidRPr="0060123C">
        <w:rPr>
          <w:rFonts w:ascii="Verdana" w:hAnsi="Verdana"/>
          <w:sz w:val="20"/>
          <w:szCs w:val="20"/>
          <w:lang w:val="es-MX"/>
        </w:rPr>
        <w:t>20</w:t>
      </w:r>
      <w:r w:rsidRPr="0060123C">
        <w:rPr>
          <w:rFonts w:ascii="Verdana" w:hAnsi="Verdana"/>
          <w:sz w:val="20"/>
          <w:szCs w:val="20"/>
          <w:lang w:val="es-MX"/>
        </w:rPr>
        <w:t xml:space="preserve"> de la misma.</w:t>
      </w:r>
    </w:p>
    <w:p w14:paraId="2F5677CC" w14:textId="7E4E1B41" w:rsidR="00705DCF" w:rsidRPr="0060123C" w:rsidRDefault="00705DCF" w:rsidP="00E565B8">
      <w:pPr>
        <w:numPr>
          <w:ilvl w:val="0"/>
          <w:numId w:val="15"/>
        </w:numPr>
        <w:spacing w:before="120" w:after="120" w:line="240" w:lineRule="auto"/>
        <w:ind w:left="0" w:firstLine="0"/>
        <w:jc w:val="both"/>
        <w:rPr>
          <w:rFonts w:ascii="Verdana" w:hAnsi="Verdana"/>
          <w:sz w:val="20"/>
          <w:szCs w:val="20"/>
          <w:lang w:val="es-MX"/>
        </w:rPr>
      </w:pPr>
      <w:r w:rsidRPr="0060123C">
        <w:rPr>
          <w:rFonts w:ascii="Verdana" w:hAnsi="Verdana"/>
          <w:sz w:val="20"/>
          <w:szCs w:val="20"/>
        </w:rPr>
        <w:t xml:space="preserve">Disponer que los representantes de las víctimas </w:t>
      </w:r>
      <w:r w:rsidR="00EF32BB">
        <w:rPr>
          <w:rFonts w:ascii="Verdana" w:hAnsi="Verdana"/>
          <w:sz w:val="20"/>
          <w:szCs w:val="20"/>
        </w:rPr>
        <w:t xml:space="preserve">de los cinco casos </w:t>
      </w:r>
      <w:r w:rsidRPr="0060123C">
        <w:rPr>
          <w:rFonts w:ascii="Verdana" w:hAnsi="Verdana"/>
          <w:sz w:val="20"/>
          <w:szCs w:val="20"/>
        </w:rPr>
        <w:t xml:space="preserve">y la Comisión Interamericana de Derechos Humanos presenten observaciones al informe del Estado mencionado en el punto resolutivo anterior, en los plazos de </w:t>
      </w:r>
      <w:r w:rsidR="00DC4DAB" w:rsidRPr="0060123C">
        <w:rPr>
          <w:rFonts w:ascii="Verdana" w:hAnsi="Verdana"/>
          <w:sz w:val="20"/>
          <w:szCs w:val="20"/>
        </w:rPr>
        <w:t>dos</w:t>
      </w:r>
      <w:r w:rsidRPr="0060123C">
        <w:rPr>
          <w:rFonts w:ascii="Verdana" w:hAnsi="Verdana"/>
          <w:sz w:val="20"/>
          <w:szCs w:val="20"/>
        </w:rPr>
        <w:t xml:space="preserve"> y </w:t>
      </w:r>
      <w:r w:rsidR="00DC4DAB" w:rsidRPr="0060123C">
        <w:rPr>
          <w:rFonts w:ascii="Verdana" w:hAnsi="Verdana"/>
          <w:sz w:val="20"/>
          <w:szCs w:val="20"/>
        </w:rPr>
        <w:t>cuatro</w:t>
      </w:r>
      <w:r w:rsidRPr="0060123C">
        <w:rPr>
          <w:rFonts w:ascii="Verdana" w:hAnsi="Verdana"/>
          <w:sz w:val="20"/>
          <w:szCs w:val="20"/>
        </w:rPr>
        <w:t xml:space="preserve"> semanas, respectivamente, contados a partir de la recepción del informe.</w:t>
      </w:r>
    </w:p>
    <w:p w14:paraId="259F789A" w14:textId="5F17027B" w:rsidR="00245E36" w:rsidRDefault="00705DCF" w:rsidP="00E565B8">
      <w:pPr>
        <w:numPr>
          <w:ilvl w:val="0"/>
          <w:numId w:val="15"/>
        </w:numPr>
        <w:spacing w:before="120" w:after="120" w:line="240" w:lineRule="auto"/>
        <w:ind w:left="0" w:firstLine="0"/>
        <w:jc w:val="both"/>
        <w:rPr>
          <w:rFonts w:ascii="Verdana" w:hAnsi="Verdana"/>
          <w:sz w:val="20"/>
          <w:szCs w:val="20"/>
          <w:lang w:val="es-MX"/>
        </w:rPr>
      </w:pPr>
      <w:r w:rsidRPr="0060123C">
        <w:rPr>
          <w:rFonts w:ascii="Verdana" w:hAnsi="Verdana"/>
          <w:sz w:val="20"/>
          <w:szCs w:val="20"/>
          <w:lang w:val="es-MX"/>
        </w:rPr>
        <w:t>Disponer que la Secretaría de la Corte notifique la presente Resolución al Estado del Perú, a los representantes de las víctimas</w:t>
      </w:r>
      <w:r w:rsidR="00C3496A" w:rsidRPr="0060123C">
        <w:rPr>
          <w:rFonts w:ascii="Verdana" w:hAnsi="Verdana"/>
          <w:sz w:val="20"/>
          <w:szCs w:val="20"/>
          <w:lang w:val="es-MX"/>
        </w:rPr>
        <w:t xml:space="preserve"> </w:t>
      </w:r>
      <w:r w:rsidR="00515422">
        <w:rPr>
          <w:rFonts w:ascii="Verdana" w:hAnsi="Verdana"/>
          <w:sz w:val="20"/>
          <w:szCs w:val="20"/>
          <w:lang w:val="es-MX"/>
        </w:rPr>
        <w:t xml:space="preserve">de los cinco casos </w:t>
      </w:r>
      <w:r w:rsidR="00C3496A" w:rsidRPr="0060123C">
        <w:rPr>
          <w:rFonts w:ascii="Verdana" w:hAnsi="Verdana"/>
          <w:sz w:val="20"/>
          <w:szCs w:val="20"/>
          <w:lang w:val="es-MX"/>
        </w:rPr>
        <w:t>y</w:t>
      </w:r>
      <w:r w:rsidRPr="0060123C">
        <w:rPr>
          <w:rFonts w:ascii="Verdana" w:hAnsi="Verdana"/>
          <w:sz w:val="20"/>
          <w:szCs w:val="20"/>
          <w:lang w:val="es-MX"/>
        </w:rPr>
        <w:t xml:space="preserve"> a la Comisión Interamericana de Derechos Humanos</w:t>
      </w:r>
      <w:r w:rsidR="00402934" w:rsidRPr="0060123C">
        <w:rPr>
          <w:rFonts w:ascii="Verdana" w:hAnsi="Verdana"/>
          <w:sz w:val="20"/>
          <w:szCs w:val="20"/>
          <w:lang w:val="es-MX"/>
        </w:rPr>
        <w:t>.</w:t>
      </w:r>
    </w:p>
    <w:p w14:paraId="1559CA46" w14:textId="77777777" w:rsidR="00B95F81" w:rsidRPr="00DE3C38" w:rsidRDefault="00B95F81" w:rsidP="00B95F81">
      <w:pPr>
        <w:spacing w:after="0" w:line="240" w:lineRule="auto"/>
        <w:jc w:val="both"/>
        <w:rPr>
          <w:rFonts w:ascii="Verdana" w:hAnsi="Verdana"/>
          <w:sz w:val="20"/>
        </w:rPr>
      </w:pPr>
      <w:r w:rsidRPr="00DE3C38">
        <w:rPr>
          <w:rFonts w:ascii="Verdana" w:eastAsia="Calibri" w:hAnsi="Verdana" w:cs="Times"/>
          <w:sz w:val="20"/>
          <w:szCs w:val="20"/>
          <w:lang w:eastAsia="es-ES"/>
        </w:rPr>
        <w:lastRenderedPageBreak/>
        <w:t xml:space="preserve">Corte IDH. </w:t>
      </w:r>
      <w:r w:rsidRPr="006C0215">
        <w:rPr>
          <w:rFonts w:ascii="Verdana" w:eastAsia="MS Mincho" w:hAnsi="Verdana" w:cs="Times New Roman"/>
          <w:iCs/>
          <w:sz w:val="20"/>
          <w:szCs w:val="20"/>
        </w:rPr>
        <w:t>Caso</w:t>
      </w:r>
      <w:r>
        <w:rPr>
          <w:rFonts w:ascii="Verdana" w:eastAsia="MS Mincho" w:hAnsi="Verdana" w:cs="Times New Roman"/>
          <w:iCs/>
          <w:sz w:val="20"/>
          <w:szCs w:val="20"/>
        </w:rPr>
        <w:t>s</w:t>
      </w:r>
      <w:r w:rsidRPr="006C0215">
        <w:rPr>
          <w:rFonts w:ascii="Verdana" w:eastAsia="MS Mincho" w:hAnsi="Verdana" w:cs="Times New Roman"/>
          <w:iCs/>
          <w:sz w:val="20"/>
          <w:szCs w:val="20"/>
        </w:rPr>
        <w:t xml:space="preserve"> </w:t>
      </w:r>
      <w:r w:rsidRPr="000405F8">
        <w:rPr>
          <w:rFonts w:ascii="Verdana" w:eastAsia="MS Mincho" w:hAnsi="Verdana" w:cs="Times New Roman"/>
          <w:iCs/>
          <w:sz w:val="20"/>
          <w:szCs w:val="20"/>
        </w:rPr>
        <w:t xml:space="preserve">Tarazona Arrieta y </w:t>
      </w:r>
      <w:r>
        <w:rPr>
          <w:rFonts w:ascii="Verdana" w:eastAsia="MS Mincho" w:hAnsi="Verdana" w:cs="Times New Roman"/>
          <w:iCs/>
          <w:sz w:val="20"/>
          <w:szCs w:val="20"/>
        </w:rPr>
        <w:t>o</w:t>
      </w:r>
      <w:r w:rsidRPr="000405F8">
        <w:rPr>
          <w:rFonts w:ascii="Verdana" w:eastAsia="MS Mincho" w:hAnsi="Verdana" w:cs="Times New Roman"/>
          <w:iCs/>
          <w:sz w:val="20"/>
          <w:szCs w:val="20"/>
        </w:rPr>
        <w:t xml:space="preserve">tros, Canales Huapaya y </w:t>
      </w:r>
      <w:r>
        <w:rPr>
          <w:rFonts w:ascii="Verdana" w:eastAsia="MS Mincho" w:hAnsi="Verdana" w:cs="Times New Roman"/>
          <w:iCs/>
          <w:sz w:val="20"/>
          <w:szCs w:val="20"/>
        </w:rPr>
        <w:t>o</w:t>
      </w:r>
      <w:r w:rsidRPr="000405F8">
        <w:rPr>
          <w:rFonts w:ascii="Verdana" w:eastAsia="MS Mincho" w:hAnsi="Verdana" w:cs="Times New Roman"/>
          <w:iCs/>
          <w:sz w:val="20"/>
          <w:szCs w:val="20"/>
        </w:rPr>
        <w:t xml:space="preserve">tros, Wong Ho </w:t>
      </w:r>
      <w:proofErr w:type="spellStart"/>
      <w:r w:rsidRPr="000405F8">
        <w:rPr>
          <w:rFonts w:ascii="Verdana" w:eastAsia="MS Mincho" w:hAnsi="Verdana" w:cs="Times New Roman"/>
          <w:iCs/>
          <w:sz w:val="20"/>
          <w:szCs w:val="20"/>
        </w:rPr>
        <w:t>Wing</w:t>
      </w:r>
      <w:proofErr w:type="spellEnd"/>
      <w:r w:rsidRPr="000405F8">
        <w:rPr>
          <w:rFonts w:ascii="Verdana" w:eastAsia="MS Mincho" w:hAnsi="Verdana" w:cs="Times New Roman"/>
          <w:iCs/>
          <w:sz w:val="20"/>
          <w:szCs w:val="20"/>
        </w:rPr>
        <w:t>, Zegarra Marín y Lagos del Campo Vs. Perú.</w:t>
      </w:r>
      <w:r w:rsidRPr="006C0215">
        <w:rPr>
          <w:rFonts w:ascii="Verdana" w:eastAsia="MS Mincho" w:hAnsi="Verdana" w:cs="Times New Roman"/>
          <w:i/>
          <w:sz w:val="20"/>
          <w:szCs w:val="20"/>
        </w:rPr>
        <w:t xml:space="preserve"> </w:t>
      </w:r>
      <w:r>
        <w:rPr>
          <w:rFonts w:ascii="Verdana" w:eastAsia="MS Mincho" w:hAnsi="Verdana" w:cs="Times New Roman"/>
          <w:i/>
          <w:sz w:val="20"/>
          <w:szCs w:val="20"/>
        </w:rPr>
        <w:t>Supervisión de Cumplimiento de Sentencias</w:t>
      </w:r>
      <w:r w:rsidRPr="00DE3C38">
        <w:rPr>
          <w:rFonts w:ascii="Verdana" w:hAnsi="Verdana" w:cs="Arial"/>
          <w:sz w:val="20"/>
        </w:rPr>
        <w:t xml:space="preserve">. </w:t>
      </w:r>
      <w:r w:rsidRPr="00DE3C38">
        <w:rPr>
          <w:rFonts w:ascii="Verdana" w:hAnsi="Verdana"/>
          <w:sz w:val="20"/>
        </w:rPr>
        <w:t xml:space="preserve">Resolución de la Corte Interamericana de Derechos Humanos de </w:t>
      </w:r>
      <w:r>
        <w:rPr>
          <w:rFonts w:ascii="Verdana" w:hAnsi="Verdana"/>
          <w:sz w:val="20"/>
        </w:rPr>
        <w:t>5 de abril de 2022</w:t>
      </w:r>
      <w:r w:rsidRPr="00DE3C38">
        <w:rPr>
          <w:rFonts w:ascii="Verdana" w:hAnsi="Verdana"/>
          <w:sz w:val="20"/>
        </w:rPr>
        <w:t xml:space="preserve">. </w:t>
      </w:r>
      <w:r w:rsidRPr="00DE3C38">
        <w:rPr>
          <w:rFonts w:ascii="Verdana" w:hAnsi="Verdana"/>
          <w:iCs/>
          <w:sz w:val="20"/>
        </w:rPr>
        <w:t>Resolución adoptada en San José de Costa Rica por medio de sesión virtual.</w:t>
      </w:r>
    </w:p>
    <w:p w14:paraId="30B1A21E" w14:textId="77777777" w:rsidR="00B95F81" w:rsidRPr="00DE3C38" w:rsidRDefault="00B95F81" w:rsidP="00B95F81">
      <w:pPr>
        <w:spacing w:after="0" w:line="240" w:lineRule="auto"/>
        <w:jc w:val="center"/>
        <w:rPr>
          <w:rFonts w:ascii="Verdana" w:eastAsia="Times" w:hAnsi="Verdana" w:cs="Times New Roman"/>
          <w:sz w:val="20"/>
          <w:szCs w:val="20"/>
        </w:rPr>
      </w:pPr>
    </w:p>
    <w:p w14:paraId="29A525B4" w14:textId="17646155" w:rsidR="00B95F81" w:rsidRPr="00DE3C38" w:rsidRDefault="00B95F81" w:rsidP="00B95F81">
      <w:pPr>
        <w:spacing w:after="0" w:line="240" w:lineRule="auto"/>
        <w:jc w:val="center"/>
        <w:rPr>
          <w:rFonts w:ascii="Verdana" w:eastAsia="Times" w:hAnsi="Verdana" w:cs="Times New Roman"/>
          <w:sz w:val="20"/>
          <w:szCs w:val="20"/>
        </w:rPr>
      </w:pPr>
    </w:p>
    <w:p w14:paraId="3FA424D6" w14:textId="77777777" w:rsidR="00B95F81" w:rsidRPr="00DE3C38" w:rsidRDefault="00B95F81" w:rsidP="00B95F81">
      <w:pPr>
        <w:spacing w:after="0" w:line="240" w:lineRule="auto"/>
        <w:jc w:val="center"/>
        <w:rPr>
          <w:rFonts w:ascii="Verdana" w:eastAsia="Times" w:hAnsi="Verdana" w:cs="Times New Roman"/>
          <w:sz w:val="20"/>
          <w:szCs w:val="20"/>
        </w:rPr>
      </w:pPr>
    </w:p>
    <w:p w14:paraId="1725F34C" w14:textId="77777777" w:rsidR="00B95F81" w:rsidRPr="00DE3C38" w:rsidRDefault="00B95F81" w:rsidP="00B95F81">
      <w:pPr>
        <w:snapToGrid w:val="0"/>
        <w:spacing w:after="0" w:line="240" w:lineRule="auto"/>
        <w:ind w:left="2880" w:firstLine="720"/>
        <w:jc w:val="both"/>
        <w:rPr>
          <w:rFonts w:ascii="Verdana" w:hAnsi="Verdana"/>
          <w:sz w:val="20"/>
          <w:szCs w:val="20"/>
        </w:rPr>
      </w:pPr>
    </w:p>
    <w:p w14:paraId="25F35E03" w14:textId="77777777" w:rsidR="00B95F81" w:rsidRPr="00DE3C38" w:rsidRDefault="00B95F81" w:rsidP="00B95F81">
      <w:pPr>
        <w:snapToGrid w:val="0"/>
        <w:spacing w:after="0" w:line="240" w:lineRule="auto"/>
        <w:ind w:left="2880" w:firstLine="720"/>
        <w:jc w:val="both"/>
        <w:rPr>
          <w:rFonts w:ascii="Verdana" w:hAnsi="Verdana"/>
          <w:sz w:val="20"/>
          <w:szCs w:val="20"/>
        </w:rPr>
      </w:pPr>
    </w:p>
    <w:p w14:paraId="046A63CC" w14:textId="00F6AEB5" w:rsidR="00B95F81" w:rsidRPr="00DE3C38" w:rsidRDefault="00B95F81" w:rsidP="00B95F81">
      <w:pPr>
        <w:snapToGrid w:val="0"/>
        <w:spacing w:after="0" w:line="240" w:lineRule="auto"/>
        <w:ind w:firstLine="720"/>
        <w:jc w:val="center"/>
        <w:rPr>
          <w:rFonts w:ascii="Verdana" w:hAnsi="Verdana"/>
          <w:sz w:val="20"/>
          <w:szCs w:val="20"/>
        </w:rPr>
      </w:pPr>
      <w:r w:rsidRPr="00DE3C38">
        <w:rPr>
          <w:rFonts w:ascii="Verdana" w:hAnsi="Verdana"/>
          <w:sz w:val="20"/>
          <w:szCs w:val="20"/>
        </w:rPr>
        <w:t>Ricardo C. Pérez Manrique</w:t>
      </w:r>
    </w:p>
    <w:p w14:paraId="00834043" w14:textId="77777777" w:rsidR="00B95F81" w:rsidRPr="00DE3C38" w:rsidRDefault="00B95F81" w:rsidP="00B95F81">
      <w:pPr>
        <w:snapToGrid w:val="0"/>
        <w:spacing w:after="0" w:line="240" w:lineRule="auto"/>
        <w:ind w:firstLine="720"/>
        <w:jc w:val="center"/>
        <w:rPr>
          <w:rFonts w:ascii="Verdana" w:hAnsi="Verdana"/>
          <w:sz w:val="20"/>
          <w:szCs w:val="20"/>
        </w:rPr>
      </w:pPr>
      <w:r w:rsidRPr="00DE3C38">
        <w:rPr>
          <w:rFonts w:ascii="Verdana" w:hAnsi="Verdana"/>
          <w:sz w:val="20"/>
          <w:szCs w:val="20"/>
        </w:rPr>
        <w:t>Presidente</w:t>
      </w:r>
    </w:p>
    <w:p w14:paraId="4644F1D4" w14:textId="12990B68" w:rsidR="00B95F81" w:rsidRPr="00DE3C38" w:rsidRDefault="00B95F81" w:rsidP="00B95F81">
      <w:pPr>
        <w:snapToGrid w:val="0"/>
        <w:spacing w:after="0" w:line="240" w:lineRule="auto"/>
        <w:ind w:left="2880" w:firstLine="720"/>
        <w:jc w:val="both"/>
        <w:rPr>
          <w:rFonts w:ascii="Verdana" w:hAnsi="Verdana"/>
          <w:sz w:val="20"/>
          <w:szCs w:val="20"/>
        </w:rPr>
      </w:pPr>
    </w:p>
    <w:p w14:paraId="5DFE214A" w14:textId="77777777" w:rsidR="00B95F81" w:rsidRPr="00DE3C38" w:rsidRDefault="00B95F81" w:rsidP="00B95F81">
      <w:pPr>
        <w:snapToGrid w:val="0"/>
        <w:spacing w:after="0" w:line="240" w:lineRule="auto"/>
        <w:jc w:val="both"/>
        <w:rPr>
          <w:rFonts w:ascii="Verdana" w:hAnsi="Verdana"/>
          <w:sz w:val="20"/>
          <w:szCs w:val="20"/>
        </w:rPr>
      </w:pPr>
    </w:p>
    <w:p w14:paraId="794FFFED" w14:textId="77777777" w:rsidR="00B95F81" w:rsidRPr="00DE3C38" w:rsidRDefault="00B95F81" w:rsidP="00B95F81">
      <w:pPr>
        <w:snapToGrid w:val="0"/>
        <w:spacing w:after="0" w:line="240" w:lineRule="auto"/>
        <w:jc w:val="both"/>
        <w:rPr>
          <w:rFonts w:ascii="Verdana" w:hAnsi="Verdana"/>
          <w:sz w:val="20"/>
          <w:szCs w:val="20"/>
        </w:rPr>
      </w:pPr>
    </w:p>
    <w:p w14:paraId="0D1A2475" w14:textId="77777777" w:rsidR="00B95F81" w:rsidRPr="00DE3C38" w:rsidRDefault="00B95F81" w:rsidP="00B95F81">
      <w:pPr>
        <w:snapToGrid w:val="0"/>
        <w:spacing w:after="0" w:line="240" w:lineRule="auto"/>
        <w:jc w:val="both"/>
        <w:rPr>
          <w:rFonts w:ascii="Verdana" w:hAnsi="Verdana"/>
          <w:sz w:val="20"/>
          <w:szCs w:val="20"/>
        </w:rPr>
      </w:pPr>
    </w:p>
    <w:p w14:paraId="3EF54BA2" w14:textId="77777777" w:rsidR="00B95F81" w:rsidRPr="00DE3C38" w:rsidRDefault="00B95F81" w:rsidP="00B95F81">
      <w:pPr>
        <w:snapToGrid w:val="0"/>
        <w:spacing w:after="0" w:line="240" w:lineRule="auto"/>
        <w:jc w:val="both"/>
        <w:rPr>
          <w:rFonts w:ascii="Verdana" w:hAnsi="Verdana"/>
          <w:sz w:val="20"/>
          <w:szCs w:val="20"/>
        </w:rPr>
      </w:pPr>
      <w:r w:rsidRPr="00DE3C38">
        <w:rPr>
          <w:rFonts w:ascii="Verdana" w:eastAsia="Times" w:hAnsi="Verdana"/>
          <w:sz w:val="20"/>
          <w:szCs w:val="20"/>
        </w:rPr>
        <w:t>Humberto Antonio Sierra Porto</w:t>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t xml:space="preserve">       Eduardo Ferrer Mac-</w:t>
      </w:r>
      <w:proofErr w:type="spellStart"/>
      <w:r w:rsidRPr="00DE3C38">
        <w:rPr>
          <w:rFonts w:ascii="Verdana" w:hAnsi="Verdana"/>
          <w:sz w:val="20"/>
          <w:szCs w:val="20"/>
        </w:rPr>
        <w:t>Gregor</w:t>
      </w:r>
      <w:proofErr w:type="spellEnd"/>
      <w:r w:rsidRPr="00DE3C38">
        <w:rPr>
          <w:rFonts w:ascii="Verdana" w:hAnsi="Verdana"/>
          <w:sz w:val="20"/>
          <w:szCs w:val="20"/>
        </w:rPr>
        <w:t xml:space="preserve"> </w:t>
      </w:r>
      <w:proofErr w:type="spellStart"/>
      <w:r w:rsidRPr="00DE3C38">
        <w:rPr>
          <w:rFonts w:ascii="Verdana" w:hAnsi="Verdana"/>
          <w:sz w:val="20"/>
          <w:szCs w:val="20"/>
        </w:rPr>
        <w:t>Poisot</w:t>
      </w:r>
      <w:proofErr w:type="spellEnd"/>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t xml:space="preserve"> </w:t>
      </w:r>
    </w:p>
    <w:p w14:paraId="6363695B" w14:textId="77777777" w:rsidR="00B95F81" w:rsidRPr="00DE3C38" w:rsidRDefault="00B95F81" w:rsidP="00B95F81">
      <w:pPr>
        <w:snapToGrid w:val="0"/>
        <w:spacing w:after="0" w:line="240" w:lineRule="auto"/>
        <w:jc w:val="both"/>
        <w:rPr>
          <w:rFonts w:ascii="Verdana" w:hAnsi="Verdana"/>
          <w:sz w:val="20"/>
          <w:szCs w:val="20"/>
        </w:rPr>
      </w:pPr>
    </w:p>
    <w:p w14:paraId="77CDAA49" w14:textId="77777777" w:rsidR="00B95F81" w:rsidRPr="00DE3C38" w:rsidRDefault="00B95F81" w:rsidP="00B95F81">
      <w:pPr>
        <w:snapToGrid w:val="0"/>
        <w:spacing w:after="0" w:line="240" w:lineRule="auto"/>
        <w:jc w:val="both"/>
        <w:rPr>
          <w:rFonts w:ascii="Verdana" w:hAnsi="Verdana"/>
          <w:sz w:val="20"/>
          <w:szCs w:val="20"/>
        </w:rPr>
      </w:pPr>
    </w:p>
    <w:p w14:paraId="280AB7BE" w14:textId="73CC6587" w:rsidR="00B95F81" w:rsidRPr="00DE3C38" w:rsidRDefault="00B95F81" w:rsidP="00B95F81">
      <w:pPr>
        <w:snapToGrid w:val="0"/>
        <w:spacing w:after="0" w:line="240" w:lineRule="auto"/>
        <w:jc w:val="both"/>
        <w:rPr>
          <w:rFonts w:ascii="Verdana" w:hAnsi="Verdana"/>
          <w:sz w:val="20"/>
          <w:szCs w:val="20"/>
        </w:rPr>
      </w:pPr>
    </w:p>
    <w:p w14:paraId="3E37CC5D" w14:textId="77777777" w:rsidR="00B95F81" w:rsidRPr="00DE3C38" w:rsidRDefault="00B95F81" w:rsidP="00B95F81">
      <w:pPr>
        <w:snapToGrid w:val="0"/>
        <w:spacing w:after="0" w:line="240" w:lineRule="auto"/>
        <w:jc w:val="both"/>
        <w:rPr>
          <w:rFonts w:ascii="Verdana" w:hAnsi="Verdana"/>
          <w:sz w:val="20"/>
          <w:szCs w:val="20"/>
        </w:rPr>
      </w:pPr>
    </w:p>
    <w:p w14:paraId="7DA7EB8A" w14:textId="77777777" w:rsidR="00B95F81" w:rsidRPr="00DE3C38" w:rsidRDefault="00B95F81" w:rsidP="00B95F81">
      <w:pPr>
        <w:snapToGrid w:val="0"/>
        <w:spacing w:after="0" w:line="240" w:lineRule="auto"/>
        <w:jc w:val="both"/>
        <w:rPr>
          <w:rFonts w:ascii="Verdana" w:hAnsi="Verdana"/>
          <w:sz w:val="20"/>
          <w:szCs w:val="20"/>
        </w:rPr>
      </w:pPr>
    </w:p>
    <w:p w14:paraId="2E041295" w14:textId="77777777" w:rsidR="00B95F81" w:rsidRPr="00DE3C38" w:rsidRDefault="00B95F81" w:rsidP="00B95F81">
      <w:pPr>
        <w:snapToGrid w:val="0"/>
        <w:spacing w:after="0" w:line="240" w:lineRule="auto"/>
        <w:jc w:val="both"/>
        <w:rPr>
          <w:rFonts w:ascii="Verdana" w:hAnsi="Verdana"/>
          <w:sz w:val="20"/>
          <w:szCs w:val="20"/>
        </w:rPr>
      </w:pPr>
      <w:r w:rsidRPr="00DE3C38">
        <w:rPr>
          <w:rFonts w:ascii="Verdana" w:hAnsi="Verdana"/>
          <w:sz w:val="20"/>
          <w:szCs w:val="20"/>
        </w:rPr>
        <w:t>Nancy Hernández López</w:t>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t xml:space="preserve">           Verónica Gómez</w:t>
      </w:r>
    </w:p>
    <w:p w14:paraId="6D49A4EF" w14:textId="77777777" w:rsidR="00B95F81" w:rsidRPr="00DE3C38" w:rsidRDefault="00B95F81" w:rsidP="00B95F81">
      <w:pPr>
        <w:snapToGrid w:val="0"/>
        <w:spacing w:after="0" w:line="240" w:lineRule="auto"/>
        <w:jc w:val="both"/>
        <w:rPr>
          <w:rFonts w:ascii="Verdana" w:hAnsi="Verdana"/>
          <w:sz w:val="20"/>
          <w:szCs w:val="20"/>
        </w:rPr>
      </w:pPr>
    </w:p>
    <w:p w14:paraId="3D49579D" w14:textId="035FD3C9" w:rsidR="00B95F81" w:rsidRPr="00DE3C38" w:rsidRDefault="00B95F81" w:rsidP="00B95F81">
      <w:pPr>
        <w:snapToGrid w:val="0"/>
        <w:spacing w:after="0" w:line="240" w:lineRule="auto"/>
        <w:jc w:val="both"/>
        <w:rPr>
          <w:rFonts w:ascii="Verdana" w:hAnsi="Verdana"/>
          <w:sz w:val="20"/>
          <w:szCs w:val="20"/>
        </w:rPr>
      </w:pPr>
    </w:p>
    <w:p w14:paraId="41B3065D" w14:textId="77777777" w:rsidR="00B95F81" w:rsidRPr="00DE3C38" w:rsidRDefault="00B95F81" w:rsidP="00B95F81">
      <w:pPr>
        <w:snapToGrid w:val="0"/>
        <w:spacing w:after="0" w:line="240" w:lineRule="auto"/>
        <w:jc w:val="both"/>
        <w:rPr>
          <w:rFonts w:ascii="Verdana" w:hAnsi="Verdana"/>
          <w:sz w:val="20"/>
          <w:szCs w:val="20"/>
        </w:rPr>
      </w:pPr>
    </w:p>
    <w:p w14:paraId="0C07FFF2" w14:textId="0E4C78E6" w:rsidR="00B95F81" w:rsidRPr="00DE3C38" w:rsidRDefault="00B95F81" w:rsidP="00B95F81">
      <w:pPr>
        <w:snapToGrid w:val="0"/>
        <w:spacing w:after="0" w:line="240" w:lineRule="auto"/>
        <w:jc w:val="both"/>
        <w:rPr>
          <w:rFonts w:ascii="Verdana" w:hAnsi="Verdana"/>
          <w:sz w:val="20"/>
          <w:szCs w:val="20"/>
        </w:rPr>
      </w:pPr>
    </w:p>
    <w:p w14:paraId="29F29871" w14:textId="77777777" w:rsidR="00B95F81" w:rsidRPr="00DE3C38" w:rsidRDefault="00B95F81" w:rsidP="00B95F81">
      <w:pPr>
        <w:snapToGrid w:val="0"/>
        <w:spacing w:after="0" w:line="240" w:lineRule="auto"/>
        <w:jc w:val="both"/>
        <w:rPr>
          <w:rFonts w:ascii="Verdana" w:hAnsi="Verdana"/>
          <w:sz w:val="20"/>
          <w:szCs w:val="20"/>
        </w:rPr>
      </w:pPr>
    </w:p>
    <w:p w14:paraId="5ACF035C" w14:textId="77777777" w:rsidR="00B95F81" w:rsidRPr="00DE3C38" w:rsidRDefault="00B95F81" w:rsidP="00B95F81">
      <w:pPr>
        <w:snapToGrid w:val="0"/>
        <w:spacing w:after="0" w:line="240" w:lineRule="auto"/>
        <w:jc w:val="both"/>
        <w:rPr>
          <w:rFonts w:ascii="Verdana" w:hAnsi="Verdana"/>
          <w:sz w:val="20"/>
          <w:szCs w:val="20"/>
        </w:rPr>
      </w:pPr>
    </w:p>
    <w:p w14:paraId="52C0D83B" w14:textId="77777777" w:rsidR="00B95F81" w:rsidRPr="00DE3C38" w:rsidRDefault="00B95F81" w:rsidP="00B95F81">
      <w:pPr>
        <w:spacing w:after="0" w:line="240" w:lineRule="auto"/>
        <w:jc w:val="both"/>
        <w:rPr>
          <w:rFonts w:ascii="Verdana" w:hAnsi="Verdana"/>
          <w:sz w:val="20"/>
          <w:szCs w:val="20"/>
        </w:rPr>
      </w:pPr>
      <w:r w:rsidRPr="00DE3C38">
        <w:rPr>
          <w:rFonts w:ascii="Verdana" w:hAnsi="Verdana"/>
          <w:sz w:val="20"/>
          <w:szCs w:val="20"/>
        </w:rPr>
        <w:t xml:space="preserve">Patricia Pérez Goldberg </w:t>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r>
      <w:r w:rsidRPr="00DE3C38">
        <w:rPr>
          <w:rFonts w:ascii="Verdana" w:hAnsi="Verdana"/>
          <w:sz w:val="20"/>
          <w:szCs w:val="20"/>
        </w:rPr>
        <w:tab/>
        <w:t xml:space="preserve">     Rodrigo de </w:t>
      </w:r>
      <w:proofErr w:type="spellStart"/>
      <w:r w:rsidRPr="00DE3C38">
        <w:rPr>
          <w:rFonts w:ascii="Verdana" w:hAnsi="Verdana"/>
          <w:sz w:val="20"/>
          <w:szCs w:val="20"/>
        </w:rPr>
        <w:t>Bittencourt</w:t>
      </w:r>
      <w:proofErr w:type="spellEnd"/>
      <w:r w:rsidRPr="00DE3C38">
        <w:rPr>
          <w:rFonts w:ascii="Verdana" w:hAnsi="Verdana"/>
          <w:sz w:val="20"/>
          <w:szCs w:val="20"/>
        </w:rPr>
        <w:t xml:space="preserve"> </w:t>
      </w:r>
      <w:proofErr w:type="spellStart"/>
      <w:r w:rsidRPr="008605E3">
        <w:rPr>
          <w:rFonts w:ascii="Verdana" w:hAnsi="Verdana"/>
          <w:sz w:val="20"/>
          <w:szCs w:val="20"/>
        </w:rPr>
        <w:t>Mudrovitsch</w:t>
      </w:r>
      <w:proofErr w:type="spellEnd"/>
    </w:p>
    <w:p w14:paraId="4B343A48" w14:textId="26C6CFD8" w:rsidR="00B95F81" w:rsidRPr="00DE3C38" w:rsidRDefault="00B95F81" w:rsidP="00B95F81">
      <w:pPr>
        <w:spacing w:after="0" w:line="240" w:lineRule="auto"/>
        <w:rPr>
          <w:rFonts w:ascii="Verdana" w:eastAsia="Times" w:hAnsi="Verdana" w:cs="Times New Roman"/>
          <w:sz w:val="20"/>
          <w:szCs w:val="20"/>
        </w:rPr>
      </w:pPr>
    </w:p>
    <w:p w14:paraId="2DACB6BF" w14:textId="77777777" w:rsidR="00B95F81" w:rsidRPr="00DE3C38" w:rsidRDefault="00B95F81" w:rsidP="00B95F81">
      <w:pPr>
        <w:spacing w:after="0" w:line="240" w:lineRule="auto"/>
        <w:jc w:val="both"/>
        <w:rPr>
          <w:rFonts w:ascii="Verdana" w:eastAsia="Times" w:hAnsi="Verdana" w:cs="Times New Roman"/>
          <w:sz w:val="20"/>
          <w:szCs w:val="20"/>
        </w:rPr>
      </w:pPr>
    </w:p>
    <w:p w14:paraId="55EB8804" w14:textId="77777777" w:rsidR="00B95F81" w:rsidRPr="00DE3C38" w:rsidRDefault="00B95F81" w:rsidP="00B95F81">
      <w:pPr>
        <w:spacing w:after="0" w:line="240" w:lineRule="auto"/>
        <w:jc w:val="both"/>
        <w:rPr>
          <w:rFonts w:ascii="Verdana" w:eastAsia="Times" w:hAnsi="Verdana" w:cs="Times New Roman"/>
          <w:sz w:val="20"/>
          <w:szCs w:val="20"/>
        </w:rPr>
      </w:pPr>
    </w:p>
    <w:p w14:paraId="47CDD7FF" w14:textId="77777777" w:rsidR="00B95F81" w:rsidRPr="00DE3C38" w:rsidRDefault="00B95F81" w:rsidP="00B95F81">
      <w:pPr>
        <w:spacing w:after="0" w:line="240" w:lineRule="auto"/>
        <w:jc w:val="both"/>
        <w:rPr>
          <w:rFonts w:ascii="Verdana" w:eastAsia="Times" w:hAnsi="Verdana" w:cs="Times New Roman"/>
          <w:sz w:val="20"/>
          <w:szCs w:val="20"/>
        </w:rPr>
      </w:pPr>
    </w:p>
    <w:p w14:paraId="3EE4239C" w14:textId="77777777" w:rsidR="00B95F81" w:rsidRPr="00DE3C38" w:rsidRDefault="00B95F81" w:rsidP="00B95F81">
      <w:pPr>
        <w:spacing w:after="0" w:line="240" w:lineRule="auto"/>
        <w:jc w:val="both"/>
        <w:rPr>
          <w:rFonts w:ascii="Verdana" w:eastAsia="Times" w:hAnsi="Verdana" w:cs="Times New Roman"/>
          <w:sz w:val="20"/>
          <w:szCs w:val="20"/>
        </w:rPr>
      </w:pPr>
    </w:p>
    <w:p w14:paraId="5136E692" w14:textId="77777777" w:rsidR="00B95F81" w:rsidRPr="00DE3C38" w:rsidRDefault="00B95F81" w:rsidP="00B95F81">
      <w:pPr>
        <w:spacing w:after="0" w:line="240" w:lineRule="auto"/>
        <w:jc w:val="both"/>
        <w:rPr>
          <w:rFonts w:ascii="Verdana" w:eastAsia="Times" w:hAnsi="Verdana" w:cs="Times New Roman"/>
          <w:sz w:val="20"/>
          <w:szCs w:val="20"/>
        </w:rPr>
      </w:pPr>
    </w:p>
    <w:p w14:paraId="42385325" w14:textId="77777777" w:rsidR="00B95F81" w:rsidRPr="00DE3C38" w:rsidRDefault="00B95F81" w:rsidP="00B95F81">
      <w:pPr>
        <w:spacing w:after="0" w:line="240" w:lineRule="auto"/>
        <w:jc w:val="both"/>
        <w:rPr>
          <w:rFonts w:ascii="Verdana" w:eastAsia="Times" w:hAnsi="Verdana" w:cs="Times New Roman"/>
          <w:sz w:val="20"/>
          <w:szCs w:val="20"/>
        </w:rPr>
      </w:pPr>
    </w:p>
    <w:p w14:paraId="05DA7FB2" w14:textId="77777777" w:rsidR="00B95F81" w:rsidRPr="00DE3C38" w:rsidRDefault="00B95F81" w:rsidP="00B95F81">
      <w:pPr>
        <w:spacing w:after="0" w:line="240" w:lineRule="auto"/>
        <w:jc w:val="center"/>
        <w:rPr>
          <w:rFonts w:ascii="Verdana" w:eastAsia="Times" w:hAnsi="Verdana" w:cs="Times New Roman"/>
          <w:sz w:val="20"/>
          <w:szCs w:val="20"/>
        </w:rPr>
      </w:pPr>
      <w:r w:rsidRPr="00DE3C38">
        <w:rPr>
          <w:rFonts w:ascii="Verdana" w:eastAsia="Times" w:hAnsi="Verdana" w:cs="Times New Roman"/>
          <w:sz w:val="20"/>
          <w:szCs w:val="20"/>
        </w:rPr>
        <w:t>Pablo Saavedra Alessandri</w:t>
      </w:r>
    </w:p>
    <w:p w14:paraId="2A618D8E" w14:textId="77777777" w:rsidR="00B95F81" w:rsidRPr="00DE3C38" w:rsidRDefault="00B95F81" w:rsidP="00B95F81">
      <w:pPr>
        <w:spacing w:after="0" w:line="240" w:lineRule="auto"/>
        <w:jc w:val="center"/>
        <w:rPr>
          <w:rFonts w:ascii="Verdana" w:eastAsia="Times" w:hAnsi="Verdana" w:cs="Times New Roman"/>
          <w:sz w:val="20"/>
          <w:szCs w:val="20"/>
        </w:rPr>
      </w:pPr>
      <w:r w:rsidRPr="00DE3C38">
        <w:rPr>
          <w:rFonts w:ascii="Verdana" w:eastAsia="Times" w:hAnsi="Verdana" w:cs="Times New Roman"/>
          <w:sz w:val="20"/>
          <w:szCs w:val="20"/>
        </w:rPr>
        <w:t>Secretario</w:t>
      </w:r>
    </w:p>
    <w:p w14:paraId="7B805BC5" w14:textId="34206577" w:rsidR="00B95F81" w:rsidRPr="00DE3C38" w:rsidRDefault="00B95F81" w:rsidP="00B95F81">
      <w:pPr>
        <w:spacing w:after="0" w:line="240" w:lineRule="auto"/>
        <w:jc w:val="both"/>
        <w:rPr>
          <w:rFonts w:ascii="Verdana" w:eastAsia="Times" w:hAnsi="Verdana" w:cs="Times New Roman"/>
          <w:sz w:val="20"/>
          <w:szCs w:val="20"/>
        </w:rPr>
      </w:pPr>
    </w:p>
    <w:p w14:paraId="064D96F2" w14:textId="77777777" w:rsidR="00B95F81" w:rsidRPr="00DE3C38" w:rsidRDefault="00B95F81" w:rsidP="00B95F81">
      <w:pPr>
        <w:spacing w:after="0" w:line="240" w:lineRule="auto"/>
        <w:jc w:val="both"/>
        <w:rPr>
          <w:rFonts w:ascii="Verdana" w:eastAsia="Times" w:hAnsi="Verdana" w:cs="Times New Roman"/>
          <w:sz w:val="20"/>
          <w:szCs w:val="20"/>
        </w:rPr>
      </w:pPr>
      <w:r w:rsidRPr="00DE3C38">
        <w:rPr>
          <w:rFonts w:ascii="Verdana" w:eastAsia="Times" w:hAnsi="Verdana" w:cs="Times New Roman"/>
          <w:sz w:val="20"/>
          <w:szCs w:val="20"/>
        </w:rPr>
        <w:t>Comuníquese y ejecútese,</w:t>
      </w:r>
    </w:p>
    <w:p w14:paraId="69A4777C" w14:textId="77777777" w:rsidR="00B95F81" w:rsidRPr="00DE3C38" w:rsidRDefault="00B95F81" w:rsidP="00B95F81">
      <w:pPr>
        <w:spacing w:after="0" w:line="240" w:lineRule="auto"/>
        <w:jc w:val="both"/>
        <w:rPr>
          <w:rFonts w:ascii="Verdana" w:eastAsia="Times" w:hAnsi="Verdana" w:cs="Times New Roman"/>
          <w:sz w:val="20"/>
          <w:szCs w:val="20"/>
        </w:rPr>
      </w:pPr>
    </w:p>
    <w:p w14:paraId="6588CB60" w14:textId="77777777" w:rsidR="00B95F81" w:rsidRPr="00DE3C38" w:rsidRDefault="00B95F81" w:rsidP="00B95F81">
      <w:pPr>
        <w:spacing w:after="0" w:line="240" w:lineRule="auto"/>
        <w:jc w:val="both"/>
        <w:rPr>
          <w:rFonts w:ascii="Verdana" w:eastAsia="Times" w:hAnsi="Verdana" w:cs="Times New Roman"/>
          <w:sz w:val="20"/>
          <w:szCs w:val="20"/>
        </w:rPr>
      </w:pPr>
    </w:p>
    <w:p w14:paraId="4BEF2154" w14:textId="59E15175" w:rsidR="00B95F81" w:rsidRPr="00DE3C38" w:rsidRDefault="00B95F81" w:rsidP="00B95F81">
      <w:pPr>
        <w:spacing w:after="0" w:line="240" w:lineRule="auto"/>
        <w:jc w:val="both"/>
        <w:rPr>
          <w:rFonts w:ascii="Verdana" w:eastAsia="Times" w:hAnsi="Verdana" w:cs="Times New Roman"/>
          <w:sz w:val="20"/>
          <w:szCs w:val="20"/>
        </w:rPr>
      </w:pPr>
    </w:p>
    <w:p w14:paraId="2FDE6C3B" w14:textId="77777777" w:rsidR="00B95F81" w:rsidRPr="00DE3C38" w:rsidRDefault="00B95F81" w:rsidP="00B95F81">
      <w:pPr>
        <w:snapToGrid w:val="0"/>
        <w:spacing w:after="0" w:line="240" w:lineRule="auto"/>
        <w:ind w:left="2820" w:firstLine="720"/>
        <w:jc w:val="center"/>
        <w:rPr>
          <w:rFonts w:ascii="Verdana" w:hAnsi="Verdana"/>
          <w:sz w:val="20"/>
          <w:szCs w:val="20"/>
        </w:rPr>
      </w:pPr>
      <w:r w:rsidRPr="00DE3C38">
        <w:rPr>
          <w:rFonts w:ascii="Verdana" w:hAnsi="Verdana"/>
          <w:sz w:val="20"/>
          <w:szCs w:val="20"/>
        </w:rPr>
        <w:t>Ricardo C. Pérez Manrique</w:t>
      </w:r>
    </w:p>
    <w:p w14:paraId="02EAEFAD" w14:textId="77777777" w:rsidR="00B95F81" w:rsidRPr="00DE3C38" w:rsidRDefault="00B95F81" w:rsidP="00B95F81">
      <w:pPr>
        <w:snapToGrid w:val="0"/>
        <w:spacing w:after="0" w:line="240" w:lineRule="auto"/>
        <w:ind w:left="3528" w:firstLine="720"/>
        <w:jc w:val="center"/>
        <w:rPr>
          <w:rFonts w:ascii="Verdana" w:hAnsi="Verdana"/>
          <w:sz w:val="20"/>
          <w:szCs w:val="20"/>
        </w:rPr>
      </w:pPr>
      <w:r w:rsidRPr="00DE3C38">
        <w:rPr>
          <w:rFonts w:ascii="Verdana" w:hAnsi="Verdana"/>
          <w:sz w:val="20"/>
          <w:szCs w:val="20"/>
        </w:rPr>
        <w:t>Presidente</w:t>
      </w:r>
    </w:p>
    <w:p w14:paraId="09F963F7" w14:textId="77777777" w:rsidR="00B95F81" w:rsidRPr="00DE3C38" w:rsidRDefault="00B95F81" w:rsidP="00B95F81">
      <w:pPr>
        <w:spacing w:after="0" w:line="240" w:lineRule="auto"/>
        <w:jc w:val="both"/>
        <w:rPr>
          <w:rFonts w:ascii="Verdana" w:eastAsia="Times" w:hAnsi="Verdana" w:cs="Times New Roman"/>
          <w:sz w:val="20"/>
          <w:szCs w:val="20"/>
        </w:rPr>
      </w:pPr>
    </w:p>
    <w:p w14:paraId="3F7CC357" w14:textId="77777777" w:rsidR="00B95F81" w:rsidRPr="00DE3C38" w:rsidRDefault="00B95F81" w:rsidP="00B95F81">
      <w:pPr>
        <w:spacing w:after="0" w:line="240" w:lineRule="auto"/>
        <w:jc w:val="both"/>
        <w:rPr>
          <w:rFonts w:ascii="Verdana" w:eastAsia="Times" w:hAnsi="Verdana" w:cs="Times New Roman"/>
          <w:sz w:val="20"/>
          <w:szCs w:val="20"/>
        </w:rPr>
      </w:pPr>
    </w:p>
    <w:p w14:paraId="305EAB73" w14:textId="77777777" w:rsidR="00B95F81" w:rsidRPr="00DE3C38" w:rsidRDefault="00B95F81" w:rsidP="00B95F81">
      <w:pPr>
        <w:spacing w:after="0" w:line="240" w:lineRule="auto"/>
        <w:jc w:val="both"/>
        <w:rPr>
          <w:rFonts w:ascii="Verdana" w:eastAsia="Times" w:hAnsi="Verdana" w:cs="Times New Roman"/>
          <w:sz w:val="20"/>
          <w:szCs w:val="20"/>
        </w:rPr>
      </w:pPr>
    </w:p>
    <w:p w14:paraId="3AE436F1" w14:textId="77777777" w:rsidR="00B95F81" w:rsidRPr="00DE3C38" w:rsidRDefault="00B95F81" w:rsidP="00B95F81">
      <w:pPr>
        <w:spacing w:after="0" w:line="240" w:lineRule="auto"/>
        <w:jc w:val="both"/>
        <w:rPr>
          <w:rFonts w:ascii="Verdana" w:eastAsia="Times" w:hAnsi="Verdana" w:cs="Times New Roman"/>
          <w:sz w:val="20"/>
          <w:szCs w:val="20"/>
        </w:rPr>
      </w:pPr>
    </w:p>
    <w:p w14:paraId="601C7F0F" w14:textId="77777777" w:rsidR="00B95F81" w:rsidRPr="00DE3C38" w:rsidRDefault="00B95F81" w:rsidP="00B95F81">
      <w:pPr>
        <w:spacing w:after="0" w:line="240" w:lineRule="auto"/>
        <w:jc w:val="both"/>
        <w:rPr>
          <w:rFonts w:ascii="Verdana" w:eastAsia="Times" w:hAnsi="Verdana" w:cs="Times New Roman"/>
          <w:sz w:val="20"/>
          <w:szCs w:val="20"/>
        </w:rPr>
      </w:pPr>
    </w:p>
    <w:p w14:paraId="4043558A" w14:textId="77777777" w:rsidR="00B95F81" w:rsidRPr="00DE3C38" w:rsidRDefault="00B95F81" w:rsidP="00B95F81">
      <w:pPr>
        <w:spacing w:after="0" w:line="240" w:lineRule="auto"/>
        <w:jc w:val="both"/>
        <w:rPr>
          <w:rFonts w:ascii="Verdana" w:eastAsia="Times" w:hAnsi="Verdana" w:cs="Times New Roman"/>
          <w:sz w:val="20"/>
          <w:szCs w:val="20"/>
        </w:rPr>
      </w:pPr>
      <w:r w:rsidRPr="00DE3C38">
        <w:rPr>
          <w:rFonts w:ascii="Verdana" w:eastAsia="Times" w:hAnsi="Verdana" w:cs="Times New Roman"/>
          <w:sz w:val="20"/>
          <w:szCs w:val="20"/>
        </w:rPr>
        <w:t>Pablo Saavedra Alessandri</w:t>
      </w:r>
    </w:p>
    <w:p w14:paraId="10C71ABA" w14:textId="69ED1A51" w:rsidR="006A4F68" w:rsidRPr="0060123C" w:rsidRDefault="00B95F81" w:rsidP="00B95F81">
      <w:pPr>
        <w:spacing w:after="0" w:line="240" w:lineRule="auto"/>
        <w:rPr>
          <w:rFonts w:ascii="Verdana" w:hAnsi="Verdana"/>
          <w:sz w:val="20"/>
          <w:szCs w:val="20"/>
          <w:lang w:val="es-MX"/>
        </w:rPr>
      </w:pPr>
      <w:r w:rsidRPr="00DE3C38">
        <w:rPr>
          <w:rFonts w:ascii="Verdana" w:eastAsia="Times" w:hAnsi="Verdana" w:cs="Times New Roman"/>
          <w:sz w:val="20"/>
          <w:szCs w:val="20"/>
        </w:rPr>
        <w:tab/>
        <w:t>Secretario</w:t>
      </w:r>
    </w:p>
    <w:sectPr w:rsidR="006A4F68" w:rsidRPr="0060123C" w:rsidSect="00B95F8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325E" w14:textId="77777777" w:rsidR="007C6881" w:rsidRDefault="007C6881" w:rsidP="005E2586">
      <w:pPr>
        <w:spacing w:after="0" w:line="240" w:lineRule="auto"/>
      </w:pPr>
      <w:r>
        <w:separator/>
      </w:r>
    </w:p>
  </w:endnote>
  <w:endnote w:type="continuationSeparator" w:id="0">
    <w:p w14:paraId="42E70CA5" w14:textId="77777777" w:rsidR="007C6881" w:rsidRDefault="007C6881" w:rsidP="005E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55kct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758800"/>
      <w:docPartObj>
        <w:docPartGallery w:val="Page Numbers (Bottom of Page)"/>
        <w:docPartUnique/>
      </w:docPartObj>
    </w:sdtPr>
    <w:sdtEndPr/>
    <w:sdtContent>
      <w:p w14:paraId="1F54CDB7" w14:textId="173B2A6F" w:rsidR="0081025F" w:rsidRDefault="0081025F">
        <w:pPr>
          <w:pStyle w:val="Piedepgina"/>
          <w:jc w:val="center"/>
        </w:pPr>
        <w:r>
          <w:fldChar w:fldCharType="begin"/>
        </w:r>
        <w:r>
          <w:instrText>PAGE   \* MERGEFORMAT</w:instrText>
        </w:r>
        <w:r>
          <w:fldChar w:fldCharType="separate"/>
        </w:r>
        <w:r>
          <w:rPr>
            <w:lang w:val="es-ES"/>
          </w:rPr>
          <w:t>2</w:t>
        </w:r>
        <w:r>
          <w:fldChar w:fldCharType="end"/>
        </w:r>
      </w:p>
    </w:sdtContent>
  </w:sdt>
  <w:p w14:paraId="15CBCD0C" w14:textId="77777777" w:rsidR="0081025F" w:rsidRDefault="008102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79A7" w14:textId="77777777" w:rsidR="007C6881" w:rsidRDefault="007C6881" w:rsidP="005E2586">
      <w:pPr>
        <w:spacing w:after="0" w:line="240" w:lineRule="auto"/>
      </w:pPr>
      <w:r>
        <w:separator/>
      </w:r>
    </w:p>
  </w:footnote>
  <w:footnote w:type="continuationSeparator" w:id="0">
    <w:p w14:paraId="79B11DEA" w14:textId="77777777" w:rsidR="007C6881" w:rsidRDefault="007C6881" w:rsidP="005E2586">
      <w:pPr>
        <w:spacing w:after="0" w:line="240" w:lineRule="auto"/>
      </w:pPr>
      <w:r>
        <w:continuationSeparator/>
      </w:r>
    </w:p>
  </w:footnote>
  <w:footnote w:id="1">
    <w:p w14:paraId="4AF91515" w14:textId="77777777" w:rsidR="00DB5E78" w:rsidRPr="004F7701" w:rsidRDefault="00DB5E78" w:rsidP="004F7701">
      <w:pPr>
        <w:pStyle w:val="Textonotapie"/>
        <w:tabs>
          <w:tab w:val="left" w:pos="567"/>
        </w:tabs>
        <w:jc w:val="both"/>
        <w:rPr>
          <w:rFonts w:ascii="Verdana" w:hAnsi="Verdana"/>
          <w:color w:val="000000" w:themeColor="text1"/>
          <w:sz w:val="16"/>
          <w:szCs w:val="16"/>
        </w:rPr>
      </w:pPr>
      <w:r w:rsidRPr="004F7701">
        <w:rPr>
          <w:rFonts w:ascii="Verdana" w:hAnsi="Verdana"/>
          <w:color w:val="000000" w:themeColor="text1"/>
          <w:sz w:val="16"/>
          <w:szCs w:val="16"/>
        </w:rPr>
        <w:t>*</w:t>
      </w:r>
      <w:r w:rsidRPr="004F7701">
        <w:rPr>
          <w:rFonts w:ascii="Verdana" w:hAnsi="Verdana"/>
          <w:color w:val="000000" w:themeColor="text1"/>
          <w:sz w:val="16"/>
          <w:szCs w:val="16"/>
        </w:rPr>
        <w:tab/>
        <w:t>Debido a las circunstancias excepcionales ocasionadas por la pandemia COVID-19, esta Resolución fue deliberada y aprobada durante el 147 Período Ordinario de Sesiones, el cual se llevó a cabo de forma no presencial utilizando medios tecnológicos de conformidad con lo establecido en el Reglamento de la Corte.</w:t>
      </w:r>
    </w:p>
    <w:p w14:paraId="1F3EAEAE" w14:textId="2B2ACBAF" w:rsidR="00B6495E" w:rsidRPr="004F7701" w:rsidRDefault="00DB5E78" w:rsidP="004F7701">
      <w:pPr>
        <w:pStyle w:val="Textonotapie"/>
        <w:tabs>
          <w:tab w:val="left" w:pos="567"/>
        </w:tabs>
        <w:jc w:val="both"/>
        <w:rPr>
          <w:rFonts w:ascii="Verdana" w:hAnsi="Verdana"/>
          <w:color w:val="000000" w:themeColor="text1"/>
          <w:sz w:val="16"/>
          <w:szCs w:val="16"/>
        </w:rPr>
      </w:pPr>
      <w:r w:rsidRPr="004F7701">
        <w:rPr>
          <w:rStyle w:val="Refdenotaalpie"/>
          <w:rFonts w:ascii="Verdana" w:hAnsi="Verdana"/>
          <w:color w:val="000000" w:themeColor="text1"/>
          <w:sz w:val="16"/>
          <w:szCs w:val="16"/>
        </w:rPr>
        <w:footnoteRef/>
      </w:r>
      <w:r w:rsidRPr="004F7701">
        <w:rPr>
          <w:rFonts w:ascii="Verdana" w:hAnsi="Verdana"/>
          <w:color w:val="000000" w:themeColor="text1"/>
          <w:sz w:val="16"/>
          <w:szCs w:val="16"/>
        </w:rPr>
        <w:t xml:space="preserve"> </w:t>
      </w:r>
      <w:r w:rsidRPr="004F7701">
        <w:rPr>
          <w:rFonts w:ascii="Verdana" w:hAnsi="Verdana"/>
          <w:color w:val="000000" w:themeColor="text1"/>
          <w:sz w:val="16"/>
          <w:szCs w:val="16"/>
        </w:rPr>
        <w:tab/>
      </w:r>
      <w:r w:rsidRPr="004F7701">
        <w:rPr>
          <w:rFonts w:ascii="Verdana" w:hAnsi="Verdana"/>
          <w:i/>
          <w:iCs/>
          <w:color w:val="000000" w:themeColor="text1"/>
          <w:sz w:val="16"/>
          <w:szCs w:val="16"/>
        </w:rPr>
        <w:t xml:space="preserve">Cfr. </w:t>
      </w:r>
      <w:r w:rsidRPr="004F7701">
        <w:rPr>
          <w:rFonts w:ascii="Verdana" w:hAnsi="Verdana" w:cs="Open Sans"/>
          <w:i/>
          <w:iCs/>
          <w:color w:val="000000" w:themeColor="text1"/>
          <w:sz w:val="16"/>
          <w:szCs w:val="16"/>
          <w:shd w:val="clear" w:color="auto" w:fill="FFFFFF"/>
        </w:rPr>
        <w:t>Caso Tarazona Arrieta y otros Vs. Perú. Excepción Preliminar, Fondo, Reparaciones y Costas</w:t>
      </w:r>
      <w:r w:rsidRPr="004F7701">
        <w:rPr>
          <w:rFonts w:ascii="Verdana" w:hAnsi="Verdana" w:cs="Open Sans"/>
          <w:color w:val="000000" w:themeColor="text1"/>
          <w:sz w:val="16"/>
          <w:szCs w:val="16"/>
          <w:shd w:val="clear" w:color="auto" w:fill="FFFFFF"/>
        </w:rPr>
        <w:t>. Sentencia de 15 de octubre de 2014. Serie C No. 286</w:t>
      </w:r>
      <w:r w:rsidRPr="004F7701">
        <w:rPr>
          <w:rFonts w:ascii="Verdana" w:hAnsi="Verdana"/>
          <w:color w:val="000000" w:themeColor="text1"/>
          <w:sz w:val="16"/>
          <w:szCs w:val="16"/>
        </w:rPr>
        <w:t xml:space="preserve">. La Sentencia fue notificada al Estado el 27 de noviembre de 2014; </w:t>
      </w:r>
      <w:r w:rsidRPr="004F7701">
        <w:rPr>
          <w:rFonts w:ascii="Verdana" w:hAnsi="Verdana" w:cs="Open Sans"/>
          <w:i/>
          <w:iCs/>
          <w:color w:val="000000" w:themeColor="text1"/>
          <w:sz w:val="16"/>
          <w:szCs w:val="16"/>
          <w:shd w:val="clear" w:color="auto" w:fill="FFFFFF"/>
        </w:rPr>
        <w:t>Caso Canales Huapaya y otros Vs. Perú. Excepciones Preliminares, Fondo, Reparaciones y Costas</w:t>
      </w:r>
      <w:r w:rsidRPr="004F7701">
        <w:rPr>
          <w:rFonts w:ascii="Verdana" w:hAnsi="Verdana" w:cs="Open Sans"/>
          <w:color w:val="000000" w:themeColor="text1"/>
          <w:sz w:val="16"/>
          <w:szCs w:val="16"/>
          <w:shd w:val="clear" w:color="auto" w:fill="FFFFFF"/>
        </w:rPr>
        <w:t>. Sentencia de 24 de junio de 2015. Serie C No. 296.</w:t>
      </w:r>
      <w:r w:rsidRPr="004F7701">
        <w:rPr>
          <w:rFonts w:ascii="Verdana" w:hAnsi="Verdana"/>
          <w:color w:val="000000" w:themeColor="text1"/>
          <w:sz w:val="16"/>
          <w:szCs w:val="16"/>
        </w:rPr>
        <w:t xml:space="preserve"> La Sentencia fue notificada al Estado el 17 de septiembre de 2015;</w:t>
      </w:r>
      <w:r w:rsidRPr="004F7701">
        <w:rPr>
          <w:rFonts w:ascii="Verdana" w:hAnsi="Verdana" w:cs="Open Sans"/>
          <w:i/>
          <w:iCs/>
          <w:color w:val="000000" w:themeColor="text1"/>
          <w:sz w:val="16"/>
          <w:szCs w:val="16"/>
          <w:shd w:val="clear" w:color="auto" w:fill="FFFFFF"/>
        </w:rPr>
        <w:t xml:space="preserve"> Caso Wong Ho </w:t>
      </w:r>
      <w:proofErr w:type="spellStart"/>
      <w:r w:rsidRPr="004F7701">
        <w:rPr>
          <w:rFonts w:ascii="Verdana" w:hAnsi="Verdana" w:cs="Open Sans"/>
          <w:i/>
          <w:iCs/>
          <w:color w:val="000000" w:themeColor="text1"/>
          <w:sz w:val="16"/>
          <w:szCs w:val="16"/>
          <w:shd w:val="clear" w:color="auto" w:fill="FFFFFF"/>
        </w:rPr>
        <w:t>Wing</w:t>
      </w:r>
      <w:proofErr w:type="spellEnd"/>
      <w:r w:rsidRPr="004F7701">
        <w:rPr>
          <w:rFonts w:ascii="Verdana" w:hAnsi="Verdana" w:cs="Open Sans"/>
          <w:i/>
          <w:iCs/>
          <w:color w:val="000000" w:themeColor="text1"/>
          <w:sz w:val="16"/>
          <w:szCs w:val="16"/>
          <w:shd w:val="clear" w:color="auto" w:fill="FFFFFF"/>
        </w:rPr>
        <w:t xml:space="preserve"> Vs. Perú. Excepción Preliminar, Fondo, Reparaciones y Costas</w:t>
      </w:r>
      <w:r w:rsidRPr="004F7701">
        <w:rPr>
          <w:rFonts w:ascii="Verdana" w:hAnsi="Verdana" w:cs="Open Sans"/>
          <w:color w:val="000000" w:themeColor="text1"/>
          <w:sz w:val="16"/>
          <w:szCs w:val="16"/>
          <w:shd w:val="clear" w:color="auto" w:fill="FFFFFF"/>
        </w:rPr>
        <w:t xml:space="preserve">. Sentencia de 30 de junio de 2015. Serie C No. 297. </w:t>
      </w:r>
      <w:r w:rsidRPr="004F7701">
        <w:rPr>
          <w:rFonts w:ascii="Verdana" w:hAnsi="Verdana"/>
          <w:color w:val="000000" w:themeColor="text1"/>
          <w:sz w:val="16"/>
          <w:szCs w:val="16"/>
        </w:rPr>
        <w:t xml:space="preserve">La Sentencia fue notificada al Estado el 16 de septiembre de 2015; </w:t>
      </w:r>
      <w:r w:rsidRPr="004F7701">
        <w:rPr>
          <w:rFonts w:ascii="Verdana" w:hAnsi="Verdana" w:cs="Open Sans"/>
          <w:i/>
          <w:iCs/>
          <w:color w:val="000000" w:themeColor="text1"/>
          <w:sz w:val="16"/>
          <w:szCs w:val="16"/>
          <w:shd w:val="clear" w:color="auto" w:fill="FFFFFF"/>
        </w:rPr>
        <w:t>Caso Zegarra Marín Vs. Perú. Excepciones Preliminares, Fondo, Reparaciones y Costas</w:t>
      </w:r>
      <w:r w:rsidRPr="004F7701">
        <w:rPr>
          <w:rFonts w:ascii="Verdana" w:hAnsi="Verdana" w:cs="Open Sans"/>
          <w:color w:val="000000" w:themeColor="text1"/>
          <w:sz w:val="16"/>
          <w:szCs w:val="16"/>
          <w:shd w:val="clear" w:color="auto" w:fill="FFFFFF"/>
        </w:rPr>
        <w:t>. Sentencia de 15 de febrero de 2017. Serie C No. 331.</w:t>
      </w:r>
      <w:r w:rsidRPr="004F7701">
        <w:rPr>
          <w:rFonts w:ascii="Verdana" w:hAnsi="Verdana"/>
          <w:color w:val="000000" w:themeColor="text1"/>
          <w:sz w:val="16"/>
          <w:szCs w:val="16"/>
        </w:rPr>
        <w:t xml:space="preserve"> La Sentencia fue notificada al Estado el 11 de mayo de 2017, y</w:t>
      </w:r>
      <w:r w:rsidRPr="004F7701">
        <w:rPr>
          <w:rFonts w:ascii="Verdana" w:hAnsi="Verdana" w:cs="Open Sans"/>
          <w:i/>
          <w:iCs/>
          <w:color w:val="000000" w:themeColor="text1"/>
          <w:sz w:val="16"/>
          <w:szCs w:val="16"/>
          <w:shd w:val="clear" w:color="auto" w:fill="FFFFFF"/>
        </w:rPr>
        <w:t xml:space="preserve"> Caso Lagos del Campo Vs. Perú. Excepciones Preliminares, Fondo, Reparaciones y Costas</w:t>
      </w:r>
      <w:r w:rsidRPr="004F7701">
        <w:rPr>
          <w:rFonts w:ascii="Verdana" w:hAnsi="Verdana" w:cs="Open Sans"/>
          <w:color w:val="000000" w:themeColor="text1"/>
          <w:sz w:val="16"/>
          <w:szCs w:val="16"/>
          <w:shd w:val="clear" w:color="auto" w:fill="FFFFFF"/>
        </w:rPr>
        <w:t xml:space="preserve">. Sentencia de 31 de agosto de 2017. Serie C No. 340. </w:t>
      </w:r>
      <w:r w:rsidR="00C65EB9" w:rsidRPr="004F7701">
        <w:rPr>
          <w:rFonts w:ascii="Verdana" w:hAnsi="Verdana"/>
          <w:color w:val="000000" w:themeColor="text1"/>
          <w:sz w:val="16"/>
          <w:szCs w:val="16"/>
        </w:rPr>
        <w:t>La Sentencia fue notificada al Estado el 13 de noviembre de 2017.</w:t>
      </w:r>
      <w:r w:rsidR="00870165">
        <w:rPr>
          <w:rFonts w:ascii="Verdana" w:hAnsi="Verdana"/>
          <w:color w:val="000000" w:themeColor="text1"/>
          <w:sz w:val="16"/>
          <w:szCs w:val="16"/>
        </w:rPr>
        <w:t>D</w:t>
      </w:r>
      <w:r w:rsidR="00FD746C" w:rsidRPr="004F7701">
        <w:rPr>
          <w:rFonts w:ascii="Verdana" w:hAnsi="Verdana"/>
          <w:color w:val="000000" w:themeColor="text1"/>
          <w:sz w:val="16"/>
          <w:szCs w:val="16"/>
        </w:rPr>
        <w:t>isponible</w:t>
      </w:r>
      <w:r w:rsidR="00870165">
        <w:rPr>
          <w:rFonts w:ascii="Verdana" w:hAnsi="Verdana"/>
          <w:color w:val="000000" w:themeColor="text1"/>
          <w:sz w:val="16"/>
          <w:szCs w:val="16"/>
        </w:rPr>
        <w:t>s</w:t>
      </w:r>
      <w:r w:rsidR="00FD746C" w:rsidRPr="004F7701">
        <w:rPr>
          <w:rFonts w:ascii="Verdana" w:hAnsi="Verdana"/>
          <w:color w:val="000000" w:themeColor="text1"/>
          <w:sz w:val="16"/>
          <w:szCs w:val="16"/>
        </w:rPr>
        <w:t xml:space="preserve"> en:</w:t>
      </w:r>
      <w:r w:rsidR="007229A1">
        <w:rPr>
          <w:rFonts w:ascii="Verdana" w:hAnsi="Verdana"/>
          <w:color w:val="000000" w:themeColor="text1"/>
          <w:sz w:val="16"/>
          <w:szCs w:val="16"/>
        </w:rPr>
        <w:t xml:space="preserve"> </w:t>
      </w:r>
      <w:hyperlink r:id="rId1" w:history="1">
        <w:r w:rsidR="007229A1" w:rsidRPr="0037732D">
          <w:rPr>
            <w:rStyle w:val="Hipervnculo"/>
            <w:rFonts w:ascii="Verdana" w:hAnsi="Verdana" w:cs="Open Sans"/>
            <w:sz w:val="16"/>
            <w:szCs w:val="16"/>
            <w:shd w:val="clear" w:color="auto" w:fill="FFFFFF"/>
          </w:rPr>
          <w:t>https://www.corteidh.or.cr/docs/casos/articulos/seriec_286_esp.pdf</w:t>
        </w:r>
      </w:hyperlink>
      <w:r w:rsidR="00FD746C" w:rsidRPr="004F7701">
        <w:rPr>
          <w:rFonts w:ascii="Verdana" w:hAnsi="Verdana" w:cs="Open Sans"/>
          <w:color w:val="000000" w:themeColor="text1"/>
          <w:sz w:val="16"/>
          <w:szCs w:val="16"/>
          <w:shd w:val="clear" w:color="auto" w:fill="FFFFFF"/>
        </w:rPr>
        <w:t>;</w:t>
      </w:r>
      <w:hyperlink r:id="rId2" w:history="1">
        <w:r w:rsidR="00870165" w:rsidRPr="00C3056C">
          <w:rPr>
            <w:rStyle w:val="Hipervnculo"/>
            <w:rFonts w:ascii="Verdana" w:hAnsi="Verdana"/>
            <w:sz w:val="16"/>
            <w:szCs w:val="16"/>
          </w:rPr>
          <w:t>https://www.corteidh.or.cr/docs/casos/articulos/seriec_296_esp.pdf</w:t>
        </w:r>
      </w:hyperlink>
      <w:r w:rsidR="00FD746C" w:rsidRPr="004F7701">
        <w:rPr>
          <w:rFonts w:ascii="Verdana" w:hAnsi="Verdana"/>
          <w:color w:val="000000" w:themeColor="text1"/>
          <w:sz w:val="16"/>
          <w:szCs w:val="16"/>
        </w:rPr>
        <w:t>;</w:t>
      </w:r>
      <w:hyperlink r:id="rId3" w:history="1">
        <w:r w:rsidR="00C65EB9" w:rsidRPr="004F7701">
          <w:rPr>
            <w:rStyle w:val="Hipervnculo"/>
            <w:rFonts w:ascii="Verdana" w:hAnsi="Verdana"/>
            <w:sz w:val="16"/>
            <w:szCs w:val="16"/>
          </w:rPr>
          <w:t>https://www.corteidh.or.cr/docs/casos/articulos/seriec_297_esp.pdf</w:t>
        </w:r>
      </w:hyperlink>
      <w:r w:rsidR="00FD746C" w:rsidRPr="004F7701">
        <w:rPr>
          <w:rStyle w:val="Hipervnculo"/>
          <w:rFonts w:ascii="Verdana" w:hAnsi="Verdana"/>
          <w:color w:val="000000" w:themeColor="text1"/>
          <w:sz w:val="16"/>
          <w:szCs w:val="16"/>
          <w:u w:val="none"/>
        </w:rPr>
        <w:t>;</w:t>
      </w:r>
      <w:hyperlink r:id="rId4" w:history="1">
        <w:r w:rsidR="00FD746C" w:rsidRPr="004F7701">
          <w:rPr>
            <w:rStyle w:val="Hipervnculo"/>
            <w:rFonts w:ascii="Verdana" w:hAnsi="Verdana"/>
            <w:sz w:val="16"/>
            <w:szCs w:val="16"/>
          </w:rPr>
          <w:t>https://www.corteidh.or.cr/docs/casos/articulos/seriec_331_esp.pdf</w:t>
        </w:r>
      </w:hyperlink>
      <w:r w:rsidR="00FD746C" w:rsidRPr="004F7701">
        <w:rPr>
          <w:rStyle w:val="Hipervnculo"/>
          <w:rFonts w:ascii="Verdana" w:hAnsi="Verdana"/>
          <w:sz w:val="16"/>
          <w:szCs w:val="16"/>
        </w:rPr>
        <w:t>;</w:t>
      </w:r>
      <w:hyperlink r:id="rId5" w:history="1">
        <w:r w:rsidR="00C65EB9" w:rsidRPr="004F7701">
          <w:rPr>
            <w:rStyle w:val="Hipervnculo"/>
            <w:rFonts w:ascii="Verdana" w:hAnsi="Verdana"/>
            <w:sz w:val="16"/>
            <w:szCs w:val="16"/>
          </w:rPr>
          <w:t>https://www.corteidh.or.cr/docs/casos/articulos/seriec_340_esp.pdf</w:t>
        </w:r>
      </w:hyperlink>
      <w:r w:rsidR="00C65EB9" w:rsidRPr="004F7701">
        <w:rPr>
          <w:rFonts w:ascii="Verdana" w:hAnsi="Verdana"/>
          <w:color w:val="000000" w:themeColor="text1"/>
          <w:sz w:val="16"/>
          <w:szCs w:val="16"/>
        </w:rPr>
        <w:t>.</w:t>
      </w:r>
    </w:p>
  </w:footnote>
  <w:footnote w:id="2">
    <w:p w14:paraId="4EB1A90C" w14:textId="7EDC2314" w:rsidR="00ED095C" w:rsidRPr="004F7701" w:rsidRDefault="00ED095C" w:rsidP="004F7701">
      <w:pPr>
        <w:pStyle w:val="Textonotapie"/>
        <w:tabs>
          <w:tab w:val="left" w:pos="567"/>
        </w:tabs>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color w:val="000000" w:themeColor="text1"/>
          <w:sz w:val="16"/>
          <w:szCs w:val="16"/>
        </w:rPr>
        <w:t xml:space="preserve">Disponibles en: </w:t>
      </w:r>
      <w:hyperlink r:id="rId6" w:history="1">
        <w:r w:rsidRPr="004F7701">
          <w:rPr>
            <w:rStyle w:val="Hipervnculo"/>
            <w:rFonts w:ascii="Verdana" w:hAnsi="Verdana"/>
            <w:sz w:val="16"/>
            <w:szCs w:val="16"/>
          </w:rPr>
          <w:t>https://www.corteidh.or.cr/casos_sentencias.cfm</w:t>
        </w:r>
      </w:hyperlink>
    </w:p>
  </w:footnote>
  <w:footnote w:id="3">
    <w:p w14:paraId="4327FB88" w14:textId="37093836" w:rsidR="00B94017" w:rsidRPr="004F7701" w:rsidRDefault="00B94017" w:rsidP="004F7701">
      <w:pPr>
        <w:pStyle w:val="Textonotapie"/>
        <w:tabs>
          <w:tab w:val="left" w:pos="567"/>
        </w:tabs>
        <w:jc w:val="both"/>
        <w:rPr>
          <w:rFonts w:ascii="Verdana" w:hAnsi="Verdana" w:cs="Open Sans"/>
          <w:color w:val="000000" w:themeColor="text1"/>
          <w:sz w:val="16"/>
          <w:szCs w:val="16"/>
          <w:shd w:val="clear" w:color="auto" w:fill="FFFFFF"/>
        </w:rPr>
      </w:pPr>
      <w:r w:rsidRPr="004F7701">
        <w:rPr>
          <w:rStyle w:val="Refdenotaalpie"/>
          <w:rFonts w:ascii="Verdana" w:hAnsi="Verdana"/>
          <w:color w:val="000000" w:themeColor="text1"/>
          <w:sz w:val="16"/>
          <w:szCs w:val="16"/>
        </w:rPr>
        <w:footnoteRef/>
      </w:r>
      <w:r w:rsidRPr="004F7701">
        <w:rPr>
          <w:rFonts w:ascii="Verdana" w:hAnsi="Verdana"/>
          <w:color w:val="000000" w:themeColor="text1"/>
          <w:sz w:val="16"/>
          <w:szCs w:val="16"/>
        </w:rPr>
        <w:t xml:space="preserve"> </w:t>
      </w:r>
      <w:r w:rsidRPr="004F7701">
        <w:rPr>
          <w:rFonts w:ascii="Verdana" w:hAnsi="Verdana"/>
          <w:color w:val="000000" w:themeColor="text1"/>
          <w:sz w:val="16"/>
          <w:szCs w:val="16"/>
          <w:lang w:val="es-ES"/>
        </w:rPr>
        <w:tab/>
      </w:r>
      <w:r w:rsidR="00826DF1" w:rsidRPr="004F7701">
        <w:rPr>
          <w:rFonts w:ascii="Verdana" w:hAnsi="Verdana" w:cs="Open Sans"/>
          <w:color w:val="000000" w:themeColor="text1"/>
          <w:sz w:val="16"/>
          <w:szCs w:val="16"/>
          <w:shd w:val="clear" w:color="auto" w:fill="FFFFFF"/>
        </w:rPr>
        <w:t xml:space="preserve">Disponibles en: </w:t>
      </w:r>
      <w:hyperlink r:id="rId7" w:history="1">
        <w:r w:rsidR="006166C1" w:rsidRPr="004F7701">
          <w:rPr>
            <w:rStyle w:val="Hipervnculo"/>
            <w:rFonts w:ascii="Verdana" w:hAnsi="Verdana" w:cs="Open Sans"/>
            <w:sz w:val="16"/>
            <w:szCs w:val="16"/>
            <w:shd w:val="clear" w:color="auto" w:fill="FFFFFF"/>
          </w:rPr>
          <w:t>https://www.corteidh.or.cr/supervision_de_cumplimiento.cfm</w:t>
        </w:r>
      </w:hyperlink>
      <w:r w:rsidR="006166C1" w:rsidRPr="004F7701">
        <w:rPr>
          <w:rFonts w:ascii="Verdana" w:hAnsi="Verdana" w:cs="Open Sans"/>
          <w:color w:val="000000" w:themeColor="text1"/>
          <w:sz w:val="16"/>
          <w:szCs w:val="16"/>
          <w:shd w:val="clear" w:color="auto" w:fill="FFFFFF"/>
        </w:rPr>
        <w:t>.</w:t>
      </w:r>
    </w:p>
  </w:footnote>
  <w:footnote w:id="4">
    <w:p w14:paraId="6C31A38A" w14:textId="5277E0ED" w:rsidR="00967246" w:rsidRPr="004F7701" w:rsidRDefault="00967246" w:rsidP="004F7701">
      <w:pPr>
        <w:tabs>
          <w:tab w:val="left" w:pos="567"/>
        </w:tabs>
        <w:autoSpaceDE w:val="0"/>
        <w:autoSpaceDN w:val="0"/>
        <w:adjustRightInd w:val="0"/>
        <w:spacing w:after="0" w:line="240" w:lineRule="auto"/>
        <w:jc w:val="both"/>
        <w:rPr>
          <w:rFonts w:ascii="Verdana" w:eastAsia="Calibri" w:hAnsi="Verdana"/>
          <w:color w:val="000000" w:themeColor="text1"/>
          <w:sz w:val="16"/>
          <w:szCs w:val="16"/>
        </w:rPr>
      </w:pPr>
      <w:r w:rsidRPr="004F7701">
        <w:rPr>
          <w:rStyle w:val="Refdenotaalpie"/>
          <w:rFonts w:ascii="Verdana" w:hAnsi="Verdana"/>
          <w:color w:val="000000" w:themeColor="text1"/>
          <w:sz w:val="16"/>
          <w:szCs w:val="16"/>
        </w:rPr>
        <w:footnoteRef/>
      </w:r>
      <w:r w:rsidRPr="004F7701">
        <w:rPr>
          <w:rFonts w:ascii="Verdana" w:hAnsi="Verdana"/>
          <w:color w:val="000000" w:themeColor="text1"/>
          <w:sz w:val="16"/>
          <w:szCs w:val="16"/>
        </w:rPr>
        <w:t xml:space="preserve"> </w:t>
      </w:r>
      <w:r w:rsidRPr="004F7701">
        <w:rPr>
          <w:rFonts w:ascii="Verdana" w:hAnsi="Verdana"/>
          <w:color w:val="000000" w:themeColor="text1"/>
          <w:sz w:val="16"/>
          <w:szCs w:val="16"/>
          <w:lang w:val="es-ES"/>
        </w:rPr>
        <w:tab/>
        <w:t xml:space="preserve">Los representantes son: </w:t>
      </w:r>
      <w:r w:rsidRPr="004F7701">
        <w:rPr>
          <w:rFonts w:ascii="Verdana" w:hAnsi="Verdana"/>
          <w:color w:val="000000" w:themeColor="text1"/>
          <w:sz w:val="16"/>
          <w:szCs w:val="16"/>
        </w:rPr>
        <w:t xml:space="preserve">en </w:t>
      </w:r>
      <w:r w:rsidR="00780FC9" w:rsidRPr="004F7701">
        <w:rPr>
          <w:rFonts w:ascii="Verdana" w:hAnsi="Verdana"/>
          <w:color w:val="000000" w:themeColor="text1"/>
          <w:sz w:val="16"/>
          <w:szCs w:val="16"/>
        </w:rPr>
        <w:t>los</w:t>
      </w:r>
      <w:r w:rsidRPr="004F7701">
        <w:rPr>
          <w:rFonts w:ascii="Verdana" w:hAnsi="Verdana"/>
          <w:color w:val="000000" w:themeColor="text1"/>
          <w:sz w:val="16"/>
          <w:szCs w:val="16"/>
        </w:rPr>
        <w:t xml:space="preserve"> caso</w:t>
      </w:r>
      <w:r w:rsidR="00780FC9" w:rsidRPr="004F7701">
        <w:rPr>
          <w:rFonts w:ascii="Verdana" w:hAnsi="Verdana"/>
          <w:color w:val="000000" w:themeColor="text1"/>
          <w:sz w:val="16"/>
          <w:szCs w:val="16"/>
        </w:rPr>
        <w:t>s</w:t>
      </w:r>
      <w:r w:rsidRPr="004F7701">
        <w:rPr>
          <w:rFonts w:ascii="Verdana" w:hAnsi="Verdana"/>
          <w:color w:val="000000" w:themeColor="text1"/>
          <w:sz w:val="16"/>
          <w:szCs w:val="16"/>
        </w:rPr>
        <w:t xml:space="preserve"> </w:t>
      </w:r>
      <w:r w:rsidRPr="004F7701">
        <w:rPr>
          <w:rFonts w:ascii="Verdana" w:hAnsi="Verdana"/>
          <w:i/>
          <w:iCs/>
          <w:color w:val="000000" w:themeColor="text1"/>
          <w:sz w:val="16"/>
          <w:szCs w:val="16"/>
        </w:rPr>
        <w:t>Tarazona Arrieta y otros</w:t>
      </w:r>
      <w:r w:rsidR="000323D1" w:rsidRPr="004F7701">
        <w:rPr>
          <w:rFonts w:ascii="Verdana" w:hAnsi="Verdana"/>
          <w:i/>
          <w:iCs/>
          <w:color w:val="000000" w:themeColor="text1"/>
          <w:sz w:val="16"/>
          <w:szCs w:val="16"/>
        </w:rPr>
        <w:t xml:space="preserve"> y Lagos del Campo</w:t>
      </w:r>
      <w:r w:rsidRPr="004F7701">
        <w:rPr>
          <w:rFonts w:ascii="Verdana" w:hAnsi="Verdana"/>
          <w:i/>
          <w:iCs/>
          <w:color w:val="000000" w:themeColor="text1"/>
          <w:sz w:val="16"/>
          <w:szCs w:val="16"/>
        </w:rPr>
        <w:t xml:space="preserve">, </w:t>
      </w:r>
      <w:r w:rsidRPr="004F7701">
        <w:rPr>
          <w:rFonts w:ascii="Verdana" w:hAnsi="Verdana"/>
          <w:color w:val="000000" w:themeColor="text1"/>
          <w:sz w:val="16"/>
          <w:szCs w:val="16"/>
        </w:rPr>
        <w:t xml:space="preserve">la Asociación Pro Derechos Humanos (APRODEH); </w:t>
      </w:r>
      <w:r w:rsidR="0073034A" w:rsidRPr="004F7701">
        <w:rPr>
          <w:rFonts w:ascii="Verdana" w:hAnsi="Verdana"/>
          <w:color w:val="000000" w:themeColor="text1"/>
          <w:sz w:val="16"/>
          <w:szCs w:val="16"/>
        </w:rPr>
        <w:t xml:space="preserve">en el caso </w:t>
      </w:r>
      <w:r w:rsidR="00BC43E4" w:rsidRPr="004F7701">
        <w:rPr>
          <w:rFonts w:ascii="Verdana" w:hAnsi="Verdana"/>
          <w:i/>
          <w:iCs/>
          <w:color w:val="000000" w:themeColor="text1"/>
          <w:sz w:val="16"/>
          <w:szCs w:val="16"/>
        </w:rPr>
        <w:t xml:space="preserve">Wong Ho </w:t>
      </w:r>
      <w:proofErr w:type="spellStart"/>
      <w:r w:rsidR="00BC43E4" w:rsidRPr="004F7701">
        <w:rPr>
          <w:rFonts w:ascii="Verdana" w:hAnsi="Verdana"/>
          <w:i/>
          <w:iCs/>
          <w:color w:val="000000" w:themeColor="text1"/>
          <w:sz w:val="16"/>
          <w:szCs w:val="16"/>
        </w:rPr>
        <w:t>Wing</w:t>
      </w:r>
      <w:proofErr w:type="spellEnd"/>
      <w:r w:rsidR="00BC43E4" w:rsidRPr="004F7701">
        <w:rPr>
          <w:rFonts w:ascii="Verdana" w:hAnsi="Verdana"/>
          <w:i/>
          <w:iCs/>
          <w:color w:val="000000" w:themeColor="text1"/>
          <w:sz w:val="16"/>
          <w:szCs w:val="16"/>
        </w:rPr>
        <w:t xml:space="preserve">, </w:t>
      </w:r>
      <w:r w:rsidR="00BC43E4" w:rsidRPr="004F7701">
        <w:rPr>
          <w:rFonts w:ascii="Verdana" w:hAnsi="Verdana"/>
          <w:color w:val="000000" w:themeColor="text1"/>
          <w:sz w:val="16"/>
          <w:szCs w:val="16"/>
        </w:rPr>
        <w:t xml:space="preserve">el señor He Long Huang </w:t>
      </w:r>
      <w:proofErr w:type="spellStart"/>
      <w:r w:rsidR="00BC43E4" w:rsidRPr="004F7701">
        <w:rPr>
          <w:rFonts w:ascii="Verdana" w:hAnsi="Verdana"/>
          <w:color w:val="000000" w:themeColor="text1"/>
          <w:sz w:val="16"/>
          <w:szCs w:val="16"/>
        </w:rPr>
        <w:t>Huang</w:t>
      </w:r>
      <w:proofErr w:type="spellEnd"/>
      <w:r w:rsidR="00B9093B" w:rsidRPr="004F7701">
        <w:rPr>
          <w:rFonts w:ascii="Verdana" w:hAnsi="Verdana"/>
          <w:color w:val="000000" w:themeColor="text1"/>
          <w:sz w:val="16"/>
          <w:szCs w:val="16"/>
        </w:rPr>
        <w:t>;</w:t>
      </w:r>
      <w:r w:rsidR="00BC43E4" w:rsidRPr="004F7701">
        <w:rPr>
          <w:rFonts w:ascii="Verdana" w:hAnsi="Verdana"/>
          <w:color w:val="000000" w:themeColor="text1"/>
          <w:sz w:val="16"/>
          <w:szCs w:val="16"/>
        </w:rPr>
        <w:t xml:space="preserve"> en el caso </w:t>
      </w:r>
      <w:r w:rsidR="00BC43E4" w:rsidRPr="004F7701">
        <w:rPr>
          <w:rFonts w:ascii="Verdana" w:hAnsi="Verdana"/>
          <w:i/>
          <w:iCs/>
          <w:color w:val="000000" w:themeColor="text1"/>
          <w:sz w:val="16"/>
          <w:szCs w:val="16"/>
        </w:rPr>
        <w:t>Zegarra Marín</w:t>
      </w:r>
      <w:r w:rsidR="000323D1" w:rsidRPr="004F7701">
        <w:rPr>
          <w:rFonts w:ascii="Verdana" w:hAnsi="Verdana"/>
          <w:i/>
          <w:iCs/>
          <w:color w:val="000000" w:themeColor="text1"/>
          <w:sz w:val="16"/>
          <w:szCs w:val="16"/>
        </w:rPr>
        <w:t>,</w:t>
      </w:r>
      <w:r w:rsidR="000323D1" w:rsidRPr="004F7701">
        <w:rPr>
          <w:rFonts w:ascii="Verdana" w:hAnsi="Verdana"/>
          <w:color w:val="000000" w:themeColor="text1"/>
          <w:sz w:val="16"/>
          <w:szCs w:val="16"/>
        </w:rPr>
        <w:t xml:space="preserve"> las</w:t>
      </w:r>
      <w:r w:rsidR="000323D1" w:rsidRPr="004F7701">
        <w:rPr>
          <w:rFonts w:ascii="Verdana" w:hAnsi="Verdana"/>
          <w:color w:val="000000" w:themeColor="text1"/>
          <w:sz w:val="16"/>
          <w:szCs w:val="16"/>
          <w:lang w:val="es-ES"/>
        </w:rPr>
        <w:t xml:space="preserve"> </w:t>
      </w:r>
      <w:r w:rsidR="000323D1" w:rsidRPr="004F7701">
        <w:rPr>
          <w:rFonts w:ascii="Verdana" w:hAnsi="Verdana"/>
          <w:color w:val="000000" w:themeColor="text1"/>
          <w:sz w:val="16"/>
          <w:szCs w:val="16"/>
        </w:rPr>
        <w:t xml:space="preserve">defensoras interamericanas </w:t>
      </w:r>
      <w:r w:rsidR="000323D1" w:rsidRPr="004F7701">
        <w:rPr>
          <w:rFonts w:ascii="Verdana" w:hAnsi="Verdana"/>
          <w:color w:val="000000" w:themeColor="text1"/>
          <w:sz w:val="16"/>
          <w:szCs w:val="16"/>
          <w:lang w:val="es-ES"/>
        </w:rPr>
        <w:t xml:space="preserve">Silvia Martínez </w:t>
      </w:r>
      <w:r w:rsidR="000323D1" w:rsidRPr="004F7701">
        <w:rPr>
          <w:rFonts w:ascii="Verdana" w:hAnsi="Verdana"/>
          <w:color w:val="000000" w:themeColor="text1"/>
          <w:sz w:val="16"/>
          <w:szCs w:val="16"/>
        </w:rPr>
        <w:t xml:space="preserve">y </w:t>
      </w:r>
      <w:proofErr w:type="spellStart"/>
      <w:r w:rsidR="000323D1" w:rsidRPr="004F7701">
        <w:rPr>
          <w:rFonts w:ascii="Verdana" w:hAnsi="Verdana"/>
          <w:color w:val="000000" w:themeColor="text1"/>
          <w:sz w:val="16"/>
          <w:szCs w:val="16"/>
          <w:lang w:val="es-ES"/>
        </w:rPr>
        <w:t>Lisy</w:t>
      </w:r>
      <w:proofErr w:type="spellEnd"/>
      <w:r w:rsidR="000323D1" w:rsidRPr="004F7701">
        <w:rPr>
          <w:rFonts w:ascii="Verdana" w:hAnsi="Verdana"/>
          <w:color w:val="000000" w:themeColor="text1"/>
          <w:sz w:val="16"/>
          <w:szCs w:val="16"/>
          <w:lang w:val="es-ES"/>
        </w:rPr>
        <w:t xml:space="preserve"> Bogado</w:t>
      </w:r>
      <w:r w:rsidR="00870165">
        <w:rPr>
          <w:rFonts w:ascii="Verdana" w:hAnsi="Verdana"/>
          <w:color w:val="000000" w:themeColor="text1"/>
          <w:sz w:val="16"/>
          <w:szCs w:val="16"/>
          <w:lang w:val="es-ES"/>
        </w:rPr>
        <w:t>;</w:t>
      </w:r>
      <w:r w:rsidR="00B9093B" w:rsidRPr="004F7701">
        <w:rPr>
          <w:rFonts w:ascii="Verdana" w:hAnsi="Verdana"/>
          <w:color w:val="000000" w:themeColor="text1"/>
          <w:sz w:val="16"/>
          <w:szCs w:val="16"/>
          <w:lang w:val="es-ES"/>
        </w:rPr>
        <w:t xml:space="preserve"> </w:t>
      </w:r>
      <w:r w:rsidR="00B9093B" w:rsidRPr="004F7701">
        <w:rPr>
          <w:rFonts w:ascii="Verdana" w:hAnsi="Verdana"/>
          <w:color w:val="000000" w:themeColor="text1"/>
          <w:sz w:val="16"/>
          <w:szCs w:val="16"/>
        </w:rPr>
        <w:t xml:space="preserve">en el caso </w:t>
      </w:r>
      <w:r w:rsidR="00B9093B" w:rsidRPr="004F7701">
        <w:rPr>
          <w:rFonts w:ascii="Verdana" w:hAnsi="Verdana" w:cs="Open Sans"/>
          <w:i/>
          <w:iCs/>
          <w:color w:val="000000" w:themeColor="text1"/>
          <w:sz w:val="16"/>
          <w:szCs w:val="16"/>
          <w:shd w:val="clear" w:color="auto" w:fill="FFFFFF"/>
        </w:rPr>
        <w:t>Canales Huapaya y otros,</w:t>
      </w:r>
      <w:r w:rsidR="00B9093B" w:rsidRPr="004F7701">
        <w:rPr>
          <w:rFonts w:ascii="Verdana" w:hAnsi="Verdana"/>
          <w:color w:val="000000" w:themeColor="text1"/>
          <w:sz w:val="16"/>
          <w:szCs w:val="16"/>
        </w:rPr>
        <w:t xml:space="preserve"> los intervinientes comunes son </w:t>
      </w:r>
      <w:r w:rsidR="00870165">
        <w:rPr>
          <w:rFonts w:ascii="Verdana" w:hAnsi="Verdana"/>
          <w:color w:val="000000" w:themeColor="text1"/>
          <w:sz w:val="16"/>
          <w:szCs w:val="16"/>
        </w:rPr>
        <w:t>(</w:t>
      </w:r>
      <w:r w:rsidR="00B9093B" w:rsidRPr="004F7701">
        <w:rPr>
          <w:rFonts w:ascii="Verdana" w:hAnsi="Verdana"/>
          <w:color w:val="000000" w:themeColor="text1"/>
          <w:sz w:val="16"/>
          <w:szCs w:val="16"/>
        </w:rPr>
        <w:t xml:space="preserve">a) la Asociación Promotora para la Educación en el Perú (APE Perú), y </w:t>
      </w:r>
      <w:r w:rsidR="00870165">
        <w:rPr>
          <w:rFonts w:ascii="Verdana" w:hAnsi="Verdana"/>
          <w:color w:val="000000" w:themeColor="text1"/>
          <w:sz w:val="16"/>
          <w:szCs w:val="16"/>
        </w:rPr>
        <w:t>(</w:t>
      </w:r>
      <w:r w:rsidR="00B9093B" w:rsidRPr="004F7701">
        <w:rPr>
          <w:rFonts w:ascii="Verdana" w:hAnsi="Verdana"/>
          <w:color w:val="000000" w:themeColor="text1"/>
          <w:sz w:val="16"/>
          <w:szCs w:val="16"/>
        </w:rPr>
        <w:t xml:space="preserve">b) los defensores interamericanos Antonio José </w:t>
      </w:r>
      <w:proofErr w:type="spellStart"/>
      <w:r w:rsidR="00B9093B" w:rsidRPr="004F7701">
        <w:rPr>
          <w:rFonts w:ascii="Verdana" w:hAnsi="Verdana"/>
          <w:color w:val="000000" w:themeColor="text1"/>
          <w:sz w:val="16"/>
          <w:szCs w:val="16"/>
        </w:rPr>
        <w:t>Maffezoli</w:t>
      </w:r>
      <w:proofErr w:type="spellEnd"/>
      <w:r w:rsidR="00B9093B" w:rsidRPr="004F7701">
        <w:rPr>
          <w:rFonts w:ascii="Verdana" w:hAnsi="Verdana"/>
          <w:color w:val="000000" w:themeColor="text1"/>
          <w:sz w:val="16"/>
          <w:szCs w:val="16"/>
        </w:rPr>
        <w:t xml:space="preserve"> </w:t>
      </w:r>
      <w:proofErr w:type="spellStart"/>
      <w:r w:rsidR="00B9093B" w:rsidRPr="004F7701">
        <w:rPr>
          <w:rFonts w:ascii="Verdana" w:hAnsi="Verdana"/>
          <w:color w:val="000000" w:themeColor="text1"/>
          <w:sz w:val="16"/>
          <w:szCs w:val="16"/>
        </w:rPr>
        <w:t>Leite</w:t>
      </w:r>
      <w:proofErr w:type="spellEnd"/>
      <w:r w:rsidR="00B9093B" w:rsidRPr="004F7701">
        <w:rPr>
          <w:rFonts w:ascii="Verdana" w:hAnsi="Verdana"/>
          <w:color w:val="000000" w:themeColor="text1"/>
          <w:sz w:val="16"/>
          <w:szCs w:val="16"/>
        </w:rPr>
        <w:t xml:space="preserve"> y Santiago García Berro, así como la defensora suplente Alicia Margarita Contero Bastidas.</w:t>
      </w:r>
    </w:p>
  </w:footnote>
  <w:footnote w:id="5">
    <w:p w14:paraId="4D339EC2" w14:textId="77777777" w:rsidR="00A87754" w:rsidRPr="004F7701" w:rsidRDefault="00A87754"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t>Facultad que además se desprende de lo dispuesto en los artículos 33, 62.1, 62.3 y 65 de la Convención Americana sobre Derechos Humanos y 30 de su Estatuto, y se encuentra regulada en el artículo 69 de su Reglamento.</w:t>
      </w:r>
    </w:p>
  </w:footnote>
  <w:footnote w:id="6">
    <w:p w14:paraId="5EEC587D" w14:textId="0F737AFD" w:rsidR="0006596B" w:rsidRPr="004F7701" w:rsidRDefault="0006596B"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cs="Open Sans"/>
          <w:color w:val="000000" w:themeColor="text1"/>
          <w:sz w:val="16"/>
          <w:szCs w:val="16"/>
          <w:shd w:val="clear" w:color="auto" w:fill="FFFFFF"/>
        </w:rPr>
        <w:t xml:space="preserve">Casos </w:t>
      </w:r>
      <w:r w:rsidRPr="004F7701">
        <w:rPr>
          <w:rFonts w:ascii="Verdana" w:hAnsi="Verdana" w:cs="Open Sans"/>
          <w:i/>
          <w:iCs/>
          <w:color w:val="000000" w:themeColor="text1"/>
          <w:sz w:val="16"/>
          <w:szCs w:val="16"/>
          <w:shd w:val="clear" w:color="auto" w:fill="FFFFFF"/>
        </w:rPr>
        <w:t>Tarazona Arrieta y otros, Canales Huapaya y otros, Zegarra Marín</w:t>
      </w:r>
      <w:r w:rsidRPr="004F7701">
        <w:rPr>
          <w:rFonts w:ascii="Verdana" w:hAnsi="Verdana" w:cs="Open Sans"/>
          <w:color w:val="000000" w:themeColor="text1"/>
          <w:sz w:val="16"/>
          <w:szCs w:val="16"/>
          <w:shd w:val="clear" w:color="auto" w:fill="FFFFFF"/>
        </w:rPr>
        <w:t xml:space="preserve"> y </w:t>
      </w:r>
      <w:r w:rsidRPr="004F7701">
        <w:rPr>
          <w:rFonts w:ascii="Verdana" w:hAnsi="Verdana" w:cs="Open Sans"/>
          <w:i/>
          <w:iCs/>
          <w:color w:val="000000" w:themeColor="text1"/>
          <w:sz w:val="16"/>
          <w:szCs w:val="16"/>
          <w:shd w:val="clear" w:color="auto" w:fill="FFFFFF"/>
        </w:rPr>
        <w:t>Lagos del Campo.</w:t>
      </w:r>
    </w:p>
  </w:footnote>
  <w:footnote w:id="7">
    <w:p w14:paraId="60444698" w14:textId="4E435A1A" w:rsidR="005D58AA" w:rsidRPr="004F7701" w:rsidRDefault="005D58AA"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color w:val="000000" w:themeColor="text1"/>
          <w:sz w:val="16"/>
          <w:szCs w:val="16"/>
        </w:rPr>
        <w:t xml:space="preserve">El Estado ha dado cumplimiento total a las siguientes medidas de reparación: </w:t>
      </w:r>
      <w:r w:rsidR="00C84D83" w:rsidRPr="004F7701">
        <w:rPr>
          <w:rFonts w:ascii="Verdana" w:hAnsi="Verdana"/>
          <w:color w:val="000000" w:themeColor="text1"/>
          <w:sz w:val="16"/>
          <w:szCs w:val="16"/>
        </w:rPr>
        <w:t xml:space="preserve">en el </w:t>
      </w:r>
      <w:r w:rsidR="00C84D83" w:rsidRPr="004F7701">
        <w:rPr>
          <w:rFonts w:ascii="Verdana" w:hAnsi="Verdana"/>
          <w:i/>
          <w:iCs/>
          <w:color w:val="000000" w:themeColor="text1"/>
          <w:sz w:val="16"/>
          <w:szCs w:val="16"/>
        </w:rPr>
        <w:t>caso Tarazona Arrieta y otros</w:t>
      </w:r>
      <w:r w:rsidR="00C84D83" w:rsidRPr="004F7701">
        <w:rPr>
          <w:rFonts w:ascii="Verdana" w:hAnsi="Verdana"/>
          <w:color w:val="000000" w:themeColor="text1"/>
          <w:sz w:val="16"/>
          <w:szCs w:val="16"/>
        </w:rPr>
        <w:t xml:space="preserve">, cumplió con </w:t>
      </w:r>
      <w:r w:rsidRPr="004F7701">
        <w:rPr>
          <w:rFonts w:ascii="Verdana" w:hAnsi="Verdana"/>
          <w:color w:val="000000" w:themeColor="text1"/>
          <w:sz w:val="16"/>
          <w:szCs w:val="16"/>
        </w:rPr>
        <w:t xml:space="preserve">realizar las publicaciones de la Sentencia y su resumen oficial </w:t>
      </w:r>
      <w:r w:rsidRPr="004F7701">
        <w:rPr>
          <w:rFonts w:ascii="Verdana" w:hAnsi="Verdana" w:cs="Open Sans"/>
          <w:color w:val="000000" w:themeColor="text1"/>
          <w:sz w:val="16"/>
          <w:szCs w:val="16"/>
          <w:shd w:val="clear" w:color="auto" w:fill="FFFFFF"/>
        </w:rPr>
        <w:t>(</w:t>
      </w:r>
      <w:r w:rsidRPr="004F7701">
        <w:rPr>
          <w:rFonts w:ascii="Verdana" w:hAnsi="Verdana" w:cs="Open Sans"/>
          <w:i/>
          <w:iCs/>
          <w:color w:val="000000" w:themeColor="text1"/>
          <w:sz w:val="16"/>
          <w:szCs w:val="16"/>
          <w:shd w:val="clear" w:color="auto" w:fill="FFFFFF"/>
        </w:rPr>
        <w:t>punto dispositivo séptimo de la Sentencia</w:t>
      </w:r>
      <w:r w:rsidRPr="004F7701">
        <w:rPr>
          <w:rFonts w:ascii="Verdana" w:hAnsi="Verdana" w:cs="Open Sans"/>
          <w:color w:val="000000" w:themeColor="text1"/>
          <w:sz w:val="16"/>
          <w:szCs w:val="16"/>
          <w:shd w:val="clear" w:color="auto" w:fill="FFFFFF"/>
        </w:rPr>
        <w:t xml:space="preserve">); </w:t>
      </w:r>
      <w:r w:rsidR="00C84D83" w:rsidRPr="004F7701">
        <w:rPr>
          <w:rFonts w:ascii="Verdana" w:hAnsi="Verdana" w:cs="Open Sans"/>
          <w:color w:val="000000" w:themeColor="text1"/>
          <w:sz w:val="16"/>
          <w:szCs w:val="16"/>
          <w:shd w:val="clear" w:color="auto" w:fill="FFFFFF"/>
        </w:rPr>
        <w:t xml:space="preserve">en el </w:t>
      </w:r>
      <w:r w:rsidR="00C84D83" w:rsidRPr="004F7701">
        <w:rPr>
          <w:rFonts w:ascii="Verdana" w:hAnsi="Verdana" w:cs="Open Sans"/>
          <w:i/>
          <w:iCs/>
          <w:color w:val="000000" w:themeColor="text1"/>
          <w:sz w:val="16"/>
          <w:szCs w:val="16"/>
          <w:shd w:val="clear" w:color="auto" w:fill="FFFFFF"/>
        </w:rPr>
        <w:t>caso Canales Huapaya y otros</w:t>
      </w:r>
      <w:r w:rsidR="00C84D83" w:rsidRPr="004F7701">
        <w:rPr>
          <w:rFonts w:ascii="Verdana" w:hAnsi="Verdana" w:cs="Open Sans"/>
          <w:color w:val="000000" w:themeColor="text1"/>
          <w:sz w:val="16"/>
          <w:szCs w:val="16"/>
          <w:shd w:val="clear" w:color="auto" w:fill="FFFFFF"/>
        </w:rPr>
        <w:t xml:space="preserve">, </w:t>
      </w:r>
      <w:r w:rsidR="00C84D83" w:rsidRPr="004F7701">
        <w:rPr>
          <w:rFonts w:ascii="Verdana" w:hAnsi="Verdana"/>
          <w:color w:val="000000" w:themeColor="text1"/>
          <w:sz w:val="16"/>
          <w:szCs w:val="16"/>
        </w:rPr>
        <w:t xml:space="preserve">cumplió con </w:t>
      </w:r>
      <w:r w:rsidRPr="004F7701">
        <w:rPr>
          <w:rFonts w:ascii="Verdana" w:hAnsi="Verdana"/>
          <w:color w:val="000000" w:themeColor="text1"/>
          <w:sz w:val="16"/>
          <w:szCs w:val="16"/>
        </w:rPr>
        <w:t>realizar las publicaciones de la Sentencia y su resumen oficial (</w:t>
      </w:r>
      <w:r w:rsidRPr="004F7701">
        <w:rPr>
          <w:rFonts w:ascii="Verdana" w:hAnsi="Verdana"/>
          <w:i/>
          <w:iCs/>
          <w:color w:val="000000" w:themeColor="text1"/>
          <w:sz w:val="16"/>
          <w:szCs w:val="16"/>
        </w:rPr>
        <w:t>punto resolutivo</w:t>
      </w:r>
      <w:r w:rsidRPr="004F7701">
        <w:rPr>
          <w:rFonts w:ascii="Verdana" w:hAnsi="Verdana" w:cs="Open Sans"/>
          <w:i/>
          <w:iCs/>
          <w:color w:val="000000" w:themeColor="text1"/>
          <w:sz w:val="16"/>
          <w:szCs w:val="16"/>
          <w:shd w:val="clear" w:color="auto" w:fill="FFFFFF"/>
        </w:rPr>
        <w:t xml:space="preserve"> </w:t>
      </w:r>
      <w:r w:rsidRPr="004F7701">
        <w:rPr>
          <w:rFonts w:ascii="Verdana" w:hAnsi="Verdana"/>
          <w:i/>
          <w:iCs/>
          <w:color w:val="000000" w:themeColor="text1"/>
          <w:sz w:val="16"/>
          <w:szCs w:val="16"/>
        </w:rPr>
        <w:t>sexto de la Sentencia</w:t>
      </w:r>
      <w:r w:rsidRPr="004F7701">
        <w:rPr>
          <w:rFonts w:ascii="Verdana" w:hAnsi="Verdana"/>
          <w:color w:val="000000" w:themeColor="text1"/>
          <w:sz w:val="16"/>
          <w:szCs w:val="16"/>
        </w:rPr>
        <w:t xml:space="preserve">); </w:t>
      </w:r>
      <w:r w:rsidR="00C84D83" w:rsidRPr="004F7701">
        <w:rPr>
          <w:rFonts w:ascii="Verdana" w:hAnsi="Verdana"/>
          <w:color w:val="000000" w:themeColor="text1"/>
          <w:sz w:val="16"/>
          <w:szCs w:val="16"/>
        </w:rPr>
        <w:t xml:space="preserve">en el </w:t>
      </w:r>
      <w:r w:rsidR="00C84D83" w:rsidRPr="004F7701">
        <w:rPr>
          <w:rFonts w:ascii="Verdana" w:hAnsi="Verdana"/>
          <w:i/>
          <w:iCs/>
          <w:color w:val="000000" w:themeColor="text1"/>
          <w:sz w:val="16"/>
          <w:szCs w:val="16"/>
        </w:rPr>
        <w:t xml:space="preserve">caso Wong Ho </w:t>
      </w:r>
      <w:proofErr w:type="spellStart"/>
      <w:r w:rsidR="00C84D83" w:rsidRPr="004F7701">
        <w:rPr>
          <w:rFonts w:ascii="Verdana" w:hAnsi="Verdana"/>
          <w:i/>
          <w:iCs/>
          <w:color w:val="000000" w:themeColor="text1"/>
          <w:sz w:val="16"/>
          <w:szCs w:val="16"/>
        </w:rPr>
        <w:t>Wing</w:t>
      </w:r>
      <w:proofErr w:type="spellEnd"/>
      <w:r w:rsidR="00C84D83" w:rsidRPr="004F7701">
        <w:rPr>
          <w:rFonts w:ascii="Verdana" w:hAnsi="Verdana"/>
          <w:color w:val="000000" w:themeColor="text1"/>
          <w:sz w:val="16"/>
          <w:szCs w:val="16"/>
        </w:rPr>
        <w:t xml:space="preserve">, </w:t>
      </w:r>
      <w:r w:rsidR="009C399D" w:rsidRPr="004F7701">
        <w:rPr>
          <w:rFonts w:ascii="Verdana" w:hAnsi="Verdana"/>
          <w:color w:val="000000" w:themeColor="text1"/>
          <w:sz w:val="16"/>
          <w:szCs w:val="16"/>
        </w:rPr>
        <w:t xml:space="preserve">cumplió con </w:t>
      </w:r>
      <w:r w:rsidRPr="004F7701">
        <w:rPr>
          <w:rFonts w:ascii="Verdana" w:hAnsi="Verdana"/>
          <w:color w:val="000000" w:themeColor="text1"/>
          <w:sz w:val="16"/>
          <w:szCs w:val="16"/>
        </w:rPr>
        <w:t xml:space="preserve">adoptar la decisión definitiva en el proceso de extradición seguido al señor Wong Ho </w:t>
      </w:r>
      <w:proofErr w:type="spellStart"/>
      <w:r w:rsidRPr="004F7701">
        <w:rPr>
          <w:rFonts w:ascii="Verdana" w:hAnsi="Verdana"/>
          <w:color w:val="000000" w:themeColor="text1"/>
          <w:sz w:val="16"/>
          <w:szCs w:val="16"/>
        </w:rPr>
        <w:t>Wing</w:t>
      </w:r>
      <w:proofErr w:type="spellEnd"/>
      <w:r w:rsidR="009C399D" w:rsidRPr="004F7701">
        <w:rPr>
          <w:rFonts w:ascii="Verdana" w:hAnsi="Verdana"/>
          <w:color w:val="000000" w:themeColor="text1"/>
          <w:sz w:val="16"/>
          <w:szCs w:val="16"/>
        </w:rPr>
        <w:t>,</w:t>
      </w:r>
      <w:r w:rsidRPr="004F7701">
        <w:rPr>
          <w:rFonts w:ascii="Verdana" w:hAnsi="Verdana"/>
          <w:color w:val="000000" w:themeColor="text1"/>
          <w:sz w:val="16"/>
          <w:szCs w:val="16"/>
        </w:rPr>
        <w:t xml:space="preserve"> revisar inmediatamente la privación de libertad del señor Wong Ho </w:t>
      </w:r>
      <w:proofErr w:type="spellStart"/>
      <w:r w:rsidRPr="004F7701">
        <w:rPr>
          <w:rFonts w:ascii="Verdana" w:hAnsi="Verdana"/>
          <w:color w:val="000000" w:themeColor="text1"/>
          <w:sz w:val="16"/>
          <w:szCs w:val="16"/>
        </w:rPr>
        <w:t>Wing</w:t>
      </w:r>
      <w:proofErr w:type="spellEnd"/>
      <w:r w:rsidR="006D7031" w:rsidRPr="004F7701">
        <w:rPr>
          <w:rFonts w:ascii="Verdana" w:hAnsi="Verdana"/>
          <w:color w:val="000000" w:themeColor="text1"/>
          <w:sz w:val="16"/>
          <w:szCs w:val="16"/>
        </w:rPr>
        <w:t>,</w:t>
      </w:r>
      <w:r w:rsidRPr="004F7701">
        <w:rPr>
          <w:rFonts w:ascii="Verdana" w:hAnsi="Verdana"/>
          <w:color w:val="000000" w:themeColor="text1"/>
          <w:sz w:val="16"/>
          <w:szCs w:val="16"/>
        </w:rPr>
        <w:t xml:space="preserve"> </w:t>
      </w:r>
      <w:r w:rsidR="009C399D" w:rsidRPr="004F7701">
        <w:rPr>
          <w:rFonts w:ascii="Verdana" w:hAnsi="Verdana"/>
          <w:color w:val="000000" w:themeColor="text1"/>
          <w:sz w:val="16"/>
          <w:szCs w:val="16"/>
        </w:rPr>
        <w:t xml:space="preserve">y </w:t>
      </w:r>
      <w:r w:rsidRPr="004F7701">
        <w:rPr>
          <w:rFonts w:ascii="Verdana" w:hAnsi="Verdana"/>
          <w:color w:val="000000" w:themeColor="text1"/>
          <w:sz w:val="16"/>
          <w:szCs w:val="16"/>
        </w:rPr>
        <w:t>realizar las publicaciones de la Sentencia y su resumen oficial (</w:t>
      </w:r>
      <w:r w:rsidRPr="004F7701">
        <w:rPr>
          <w:rFonts w:ascii="Verdana" w:hAnsi="Verdana"/>
          <w:i/>
          <w:iCs/>
          <w:color w:val="000000" w:themeColor="text1"/>
          <w:sz w:val="16"/>
          <w:szCs w:val="16"/>
        </w:rPr>
        <w:t>punto</w:t>
      </w:r>
      <w:r w:rsidR="009C399D" w:rsidRPr="004F7701">
        <w:rPr>
          <w:rFonts w:ascii="Verdana" w:hAnsi="Verdana"/>
          <w:i/>
          <w:iCs/>
          <w:color w:val="000000" w:themeColor="text1"/>
          <w:sz w:val="16"/>
          <w:szCs w:val="16"/>
        </w:rPr>
        <w:t>s</w:t>
      </w:r>
      <w:r w:rsidRPr="004F7701">
        <w:rPr>
          <w:rFonts w:ascii="Verdana" w:hAnsi="Verdana"/>
          <w:i/>
          <w:iCs/>
          <w:color w:val="000000" w:themeColor="text1"/>
          <w:sz w:val="16"/>
          <w:szCs w:val="16"/>
        </w:rPr>
        <w:t xml:space="preserve"> resolutivo</w:t>
      </w:r>
      <w:r w:rsidR="009C399D" w:rsidRPr="004F7701">
        <w:rPr>
          <w:rFonts w:ascii="Verdana" w:hAnsi="Verdana"/>
          <w:i/>
          <w:iCs/>
          <w:color w:val="000000" w:themeColor="text1"/>
          <w:sz w:val="16"/>
          <w:szCs w:val="16"/>
        </w:rPr>
        <w:t>s</w:t>
      </w:r>
      <w:r w:rsidRPr="004F7701">
        <w:rPr>
          <w:rFonts w:ascii="Verdana" w:hAnsi="Verdana"/>
          <w:i/>
          <w:iCs/>
          <w:color w:val="000000" w:themeColor="text1"/>
          <w:sz w:val="16"/>
          <w:szCs w:val="16"/>
        </w:rPr>
        <w:t xml:space="preserve"> </w:t>
      </w:r>
      <w:r w:rsidR="009C399D" w:rsidRPr="004F7701">
        <w:rPr>
          <w:rFonts w:ascii="Verdana" w:hAnsi="Verdana"/>
          <w:i/>
          <w:iCs/>
          <w:color w:val="000000" w:themeColor="text1"/>
          <w:sz w:val="16"/>
          <w:szCs w:val="16"/>
        </w:rPr>
        <w:t xml:space="preserve">undécimo, decimotercero y </w:t>
      </w:r>
      <w:r w:rsidRPr="004F7701">
        <w:rPr>
          <w:rFonts w:ascii="Verdana" w:hAnsi="Verdana"/>
          <w:i/>
          <w:iCs/>
          <w:color w:val="000000" w:themeColor="text1"/>
          <w:sz w:val="16"/>
          <w:szCs w:val="16"/>
        </w:rPr>
        <w:t>decimocuarto de la Sentencia</w:t>
      </w:r>
      <w:r w:rsidRPr="004F7701">
        <w:rPr>
          <w:rFonts w:ascii="Verdana" w:hAnsi="Verdana"/>
          <w:color w:val="000000" w:themeColor="text1"/>
          <w:sz w:val="16"/>
          <w:szCs w:val="16"/>
        </w:rPr>
        <w:t xml:space="preserve">); </w:t>
      </w:r>
      <w:r w:rsidR="009C399D" w:rsidRPr="004F7701">
        <w:rPr>
          <w:rFonts w:ascii="Verdana" w:hAnsi="Verdana"/>
          <w:color w:val="000000" w:themeColor="text1"/>
          <w:sz w:val="16"/>
          <w:szCs w:val="16"/>
        </w:rPr>
        <w:t xml:space="preserve">en el </w:t>
      </w:r>
      <w:r w:rsidR="009C399D" w:rsidRPr="004F7701">
        <w:rPr>
          <w:rFonts w:ascii="Verdana" w:hAnsi="Verdana"/>
          <w:i/>
          <w:iCs/>
          <w:color w:val="000000" w:themeColor="text1"/>
          <w:sz w:val="16"/>
          <w:szCs w:val="16"/>
        </w:rPr>
        <w:t>caso Zegarra Marín</w:t>
      </w:r>
      <w:r w:rsidR="009C399D" w:rsidRPr="004F7701">
        <w:rPr>
          <w:rFonts w:ascii="Verdana" w:hAnsi="Verdana"/>
          <w:color w:val="000000" w:themeColor="text1"/>
          <w:sz w:val="16"/>
          <w:szCs w:val="16"/>
        </w:rPr>
        <w:t>, cumplió con</w:t>
      </w:r>
      <w:r w:rsidRPr="004F7701">
        <w:rPr>
          <w:rFonts w:ascii="Verdana" w:hAnsi="Verdana" w:cs="Open Sans"/>
          <w:color w:val="000000" w:themeColor="text1"/>
          <w:sz w:val="16"/>
          <w:szCs w:val="16"/>
          <w:shd w:val="clear" w:color="auto" w:fill="FFFFFF"/>
        </w:rPr>
        <w:t xml:space="preserve"> </w:t>
      </w:r>
      <w:r w:rsidRPr="004F7701">
        <w:rPr>
          <w:rFonts w:ascii="Verdana" w:hAnsi="Verdana"/>
          <w:color w:val="000000" w:themeColor="text1"/>
          <w:sz w:val="16"/>
          <w:szCs w:val="16"/>
        </w:rPr>
        <w:t>realizar las publicaciones de la Sentencia y su resumen oficial</w:t>
      </w:r>
      <w:r w:rsidR="009C399D" w:rsidRPr="004F7701">
        <w:rPr>
          <w:rFonts w:ascii="Verdana" w:hAnsi="Verdana"/>
          <w:color w:val="000000" w:themeColor="text1"/>
          <w:sz w:val="16"/>
          <w:szCs w:val="16"/>
        </w:rPr>
        <w:t>, y</w:t>
      </w:r>
      <w:r w:rsidRPr="004F7701">
        <w:rPr>
          <w:rFonts w:ascii="Verdana" w:hAnsi="Verdana"/>
          <w:color w:val="000000" w:themeColor="text1"/>
          <w:sz w:val="16"/>
          <w:szCs w:val="16"/>
        </w:rPr>
        <w:t xml:space="preserve"> adoptar todas las medidas necesarias para dejar sin efectos las consecuencias que se derivan de la sentencia condenatoria emitida a nivel interno, así como los antecedentes judiciales o administrativos, penales o policiales que existan en su contra a raíz de dicho proceso (</w:t>
      </w:r>
      <w:r w:rsidRPr="004F7701">
        <w:rPr>
          <w:rFonts w:ascii="Verdana" w:hAnsi="Verdana"/>
          <w:i/>
          <w:iCs/>
          <w:color w:val="000000" w:themeColor="text1"/>
          <w:sz w:val="16"/>
          <w:szCs w:val="16"/>
        </w:rPr>
        <w:t>punto</w:t>
      </w:r>
      <w:r w:rsidR="009C399D" w:rsidRPr="004F7701">
        <w:rPr>
          <w:rFonts w:ascii="Verdana" w:hAnsi="Verdana"/>
          <w:i/>
          <w:iCs/>
          <w:color w:val="000000" w:themeColor="text1"/>
          <w:sz w:val="16"/>
          <w:szCs w:val="16"/>
        </w:rPr>
        <w:t>s</w:t>
      </w:r>
      <w:r w:rsidRPr="004F7701">
        <w:rPr>
          <w:rFonts w:ascii="Verdana" w:hAnsi="Verdana"/>
          <w:i/>
          <w:iCs/>
          <w:color w:val="000000" w:themeColor="text1"/>
          <w:sz w:val="16"/>
          <w:szCs w:val="16"/>
        </w:rPr>
        <w:t xml:space="preserve"> resolutivo</w:t>
      </w:r>
      <w:r w:rsidR="009C399D" w:rsidRPr="004F7701">
        <w:rPr>
          <w:rFonts w:ascii="Verdana" w:hAnsi="Verdana"/>
          <w:i/>
          <w:iCs/>
          <w:color w:val="000000" w:themeColor="text1"/>
          <w:sz w:val="16"/>
          <w:szCs w:val="16"/>
        </w:rPr>
        <w:t>s</w:t>
      </w:r>
      <w:r w:rsidRPr="004F7701">
        <w:rPr>
          <w:rFonts w:ascii="Verdana" w:hAnsi="Verdana"/>
          <w:i/>
          <w:iCs/>
          <w:color w:val="000000" w:themeColor="text1"/>
          <w:sz w:val="16"/>
          <w:szCs w:val="16"/>
        </w:rPr>
        <w:t xml:space="preserve"> noveno </w:t>
      </w:r>
      <w:r w:rsidR="009C399D" w:rsidRPr="004F7701">
        <w:rPr>
          <w:rFonts w:ascii="Verdana" w:hAnsi="Verdana"/>
          <w:i/>
          <w:iCs/>
          <w:color w:val="000000" w:themeColor="text1"/>
          <w:sz w:val="16"/>
          <w:szCs w:val="16"/>
        </w:rPr>
        <w:t xml:space="preserve">y décimo </w:t>
      </w:r>
      <w:r w:rsidRPr="004F7701">
        <w:rPr>
          <w:rFonts w:ascii="Verdana" w:hAnsi="Verdana"/>
          <w:i/>
          <w:iCs/>
          <w:color w:val="000000" w:themeColor="text1"/>
          <w:sz w:val="16"/>
          <w:szCs w:val="16"/>
        </w:rPr>
        <w:t>de la Sentencia</w:t>
      </w:r>
      <w:r w:rsidRPr="004F7701">
        <w:rPr>
          <w:rFonts w:ascii="Verdana" w:hAnsi="Verdana"/>
          <w:color w:val="000000" w:themeColor="text1"/>
          <w:sz w:val="16"/>
          <w:szCs w:val="16"/>
        </w:rPr>
        <w:t xml:space="preserve">), y </w:t>
      </w:r>
      <w:r w:rsidR="009C399D" w:rsidRPr="004F7701">
        <w:rPr>
          <w:rFonts w:ascii="Verdana" w:hAnsi="Verdana"/>
          <w:color w:val="000000" w:themeColor="text1"/>
          <w:sz w:val="16"/>
          <w:szCs w:val="16"/>
        </w:rPr>
        <w:t xml:space="preserve">en el </w:t>
      </w:r>
      <w:r w:rsidR="009C399D" w:rsidRPr="004F7701">
        <w:rPr>
          <w:rFonts w:ascii="Verdana" w:hAnsi="Verdana"/>
          <w:i/>
          <w:iCs/>
          <w:color w:val="000000" w:themeColor="text1"/>
          <w:sz w:val="16"/>
          <w:szCs w:val="16"/>
        </w:rPr>
        <w:t>caso Lagos del Campo</w:t>
      </w:r>
      <w:r w:rsidR="009C399D" w:rsidRPr="004F7701">
        <w:rPr>
          <w:rFonts w:ascii="Verdana" w:hAnsi="Verdana"/>
          <w:color w:val="000000" w:themeColor="text1"/>
          <w:sz w:val="16"/>
          <w:szCs w:val="16"/>
        </w:rPr>
        <w:t xml:space="preserve">, cumplió con </w:t>
      </w:r>
      <w:r w:rsidRPr="004F7701">
        <w:rPr>
          <w:rFonts w:ascii="Verdana" w:hAnsi="Verdana"/>
          <w:color w:val="000000" w:themeColor="text1"/>
          <w:sz w:val="16"/>
          <w:szCs w:val="16"/>
        </w:rPr>
        <w:t>realizar las publicaciones de la Sentencia y su resumen oficial (</w:t>
      </w:r>
      <w:r w:rsidRPr="004F7701">
        <w:rPr>
          <w:rFonts w:ascii="Verdana" w:hAnsi="Verdana"/>
          <w:i/>
          <w:iCs/>
          <w:color w:val="000000" w:themeColor="text1"/>
          <w:sz w:val="16"/>
          <w:szCs w:val="16"/>
        </w:rPr>
        <w:t>punto dispositivo décimo de la Sentencia</w:t>
      </w:r>
      <w:r w:rsidRPr="004F7701">
        <w:rPr>
          <w:rFonts w:ascii="Verdana" w:hAnsi="Verdana"/>
          <w:color w:val="000000" w:themeColor="text1"/>
          <w:sz w:val="16"/>
          <w:szCs w:val="16"/>
        </w:rPr>
        <w:t>).</w:t>
      </w:r>
    </w:p>
  </w:footnote>
  <w:footnote w:id="8">
    <w:p w14:paraId="1E5662FE" w14:textId="43B40525" w:rsidR="00C35D39" w:rsidRPr="004F7701" w:rsidRDefault="00C35D39"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00B73034" w:rsidRPr="004F7701">
        <w:rPr>
          <w:rFonts w:ascii="Verdana" w:hAnsi="Verdana"/>
          <w:sz w:val="16"/>
          <w:szCs w:val="16"/>
        </w:rPr>
        <w:tab/>
      </w:r>
      <w:r w:rsidR="00B73034" w:rsidRPr="004F7701">
        <w:rPr>
          <w:rFonts w:ascii="Verdana" w:hAnsi="Verdana"/>
          <w:color w:val="000000" w:themeColor="text1"/>
          <w:sz w:val="16"/>
          <w:szCs w:val="16"/>
        </w:rPr>
        <w:t xml:space="preserve">Asimismo, en tales Fallos, la Corte incluyó disposiciones sobre la modalidad de cumplimiento de dichas obligaciones. Entre ellas, estableció que el Estado debía efectuar los referidos pagos y reintegros “directamente a las personas indicadas” en las cinco Sentencias, “[e]n caso de que los beneficiarios fallezcan antes de que les sean entregadas las indemnizaciones respectivas, éstas se efectuarán directamente a sus derechohabientes, conforme al derecho interno aplicable”, y “[e]n caso de que el Estado incurriera en mora […], </w:t>
      </w:r>
      <w:proofErr w:type="spellStart"/>
      <w:r w:rsidR="00B73034" w:rsidRPr="004F7701">
        <w:rPr>
          <w:rFonts w:ascii="Verdana" w:hAnsi="Verdana"/>
          <w:color w:val="000000" w:themeColor="text1"/>
          <w:sz w:val="16"/>
          <w:szCs w:val="16"/>
        </w:rPr>
        <w:t>deb</w:t>
      </w:r>
      <w:proofErr w:type="spellEnd"/>
      <w:r w:rsidR="00B73034" w:rsidRPr="004F7701">
        <w:rPr>
          <w:rFonts w:ascii="Verdana" w:hAnsi="Verdana"/>
          <w:color w:val="000000" w:themeColor="text1"/>
          <w:sz w:val="16"/>
          <w:szCs w:val="16"/>
        </w:rPr>
        <w:t>[</w:t>
      </w:r>
      <w:proofErr w:type="spellStart"/>
      <w:r w:rsidR="00B73034" w:rsidRPr="004F7701">
        <w:rPr>
          <w:rFonts w:ascii="Verdana" w:hAnsi="Verdana"/>
          <w:color w:val="000000" w:themeColor="text1"/>
          <w:sz w:val="16"/>
          <w:szCs w:val="16"/>
        </w:rPr>
        <w:t>ía</w:t>
      </w:r>
      <w:proofErr w:type="spellEnd"/>
      <w:r w:rsidR="00B73034" w:rsidRPr="004F7701">
        <w:rPr>
          <w:rFonts w:ascii="Verdana" w:hAnsi="Verdana"/>
          <w:color w:val="000000" w:themeColor="text1"/>
          <w:sz w:val="16"/>
          <w:szCs w:val="16"/>
        </w:rPr>
        <w:t>] pagar un interés sobre la cantidad adeudada, correspondiente al interés bancario moratorio en la República del Perú”.</w:t>
      </w:r>
    </w:p>
  </w:footnote>
  <w:footnote w:id="9">
    <w:p w14:paraId="4077CE98" w14:textId="2BC42E0D" w:rsidR="00CF4796" w:rsidRPr="004F7701" w:rsidRDefault="00CF4796" w:rsidP="004F7701">
      <w:pPr>
        <w:pStyle w:val="Textonotapie"/>
        <w:tabs>
          <w:tab w:val="left" w:pos="567"/>
        </w:tabs>
        <w:jc w:val="both"/>
        <w:rPr>
          <w:rFonts w:ascii="Verdana" w:hAnsi="Verdana"/>
          <w:i/>
          <w:iCs/>
          <w:color w:val="000000" w:themeColor="text1"/>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00262B7C" w:rsidRPr="00262B7C">
        <w:rPr>
          <w:rFonts w:ascii="Verdana" w:hAnsi="Verdana"/>
          <w:i/>
          <w:iCs/>
          <w:sz w:val="16"/>
          <w:szCs w:val="16"/>
          <w:lang w:val="es-MX"/>
        </w:rPr>
        <w:t xml:space="preserve">Cfr. </w:t>
      </w:r>
      <w:r w:rsidRPr="004F7701">
        <w:rPr>
          <w:rFonts w:ascii="Verdana" w:hAnsi="Verdana"/>
          <w:color w:val="000000" w:themeColor="text1"/>
          <w:sz w:val="16"/>
          <w:szCs w:val="16"/>
        </w:rPr>
        <w:t xml:space="preserve">Resoluciones de la Presidencia del Consejo de Defensa Jurídica del Estado de </w:t>
      </w:r>
      <w:r w:rsidRPr="004F7701">
        <w:rPr>
          <w:rFonts w:ascii="Verdana" w:hAnsi="Verdana"/>
          <w:sz w:val="16"/>
          <w:szCs w:val="16"/>
        </w:rPr>
        <w:t>25 julio de 2019 en los</w:t>
      </w:r>
      <w:r w:rsidRPr="004F7701">
        <w:rPr>
          <w:rFonts w:ascii="Verdana" w:hAnsi="Verdana"/>
          <w:i/>
          <w:iCs/>
          <w:color w:val="000000" w:themeColor="text1"/>
          <w:sz w:val="16"/>
          <w:szCs w:val="16"/>
        </w:rPr>
        <w:t xml:space="preserve"> </w:t>
      </w:r>
      <w:r w:rsidRPr="004F7701">
        <w:rPr>
          <w:rFonts w:ascii="Verdana" w:hAnsi="Verdana"/>
          <w:color w:val="000000" w:themeColor="text1"/>
          <w:sz w:val="16"/>
          <w:szCs w:val="16"/>
        </w:rPr>
        <w:t xml:space="preserve">casos </w:t>
      </w:r>
      <w:r w:rsidRPr="004F7701">
        <w:rPr>
          <w:rFonts w:ascii="Verdana" w:hAnsi="Verdana"/>
          <w:i/>
          <w:iCs/>
          <w:color w:val="000000" w:themeColor="text1"/>
          <w:sz w:val="16"/>
          <w:szCs w:val="16"/>
        </w:rPr>
        <w:t>Tarazona Arrieta y otros</w:t>
      </w:r>
      <w:r w:rsidR="00B71E52">
        <w:rPr>
          <w:rFonts w:ascii="Verdana" w:hAnsi="Verdana"/>
          <w:color w:val="000000" w:themeColor="text1"/>
          <w:sz w:val="16"/>
          <w:szCs w:val="16"/>
        </w:rPr>
        <w:t>,</w:t>
      </w:r>
      <w:r w:rsidRPr="004F7701">
        <w:rPr>
          <w:rFonts w:ascii="Verdana" w:hAnsi="Verdana"/>
          <w:color w:val="000000" w:themeColor="text1"/>
          <w:sz w:val="16"/>
          <w:szCs w:val="16"/>
        </w:rPr>
        <w:t xml:space="preserve"> </w:t>
      </w:r>
      <w:r w:rsidRPr="004F7701">
        <w:rPr>
          <w:rFonts w:ascii="Verdana" w:hAnsi="Verdana"/>
          <w:sz w:val="16"/>
          <w:szCs w:val="16"/>
        </w:rPr>
        <w:t>y</w:t>
      </w:r>
      <w:r w:rsidRPr="004F7701">
        <w:rPr>
          <w:rFonts w:ascii="Verdana" w:hAnsi="Verdana"/>
          <w:i/>
          <w:iCs/>
          <w:color w:val="000000" w:themeColor="text1"/>
          <w:sz w:val="16"/>
          <w:szCs w:val="16"/>
        </w:rPr>
        <w:t xml:space="preserve"> Wong Ho </w:t>
      </w:r>
      <w:proofErr w:type="spellStart"/>
      <w:r w:rsidRPr="004F7701">
        <w:rPr>
          <w:rFonts w:ascii="Verdana" w:hAnsi="Verdana"/>
          <w:i/>
          <w:iCs/>
          <w:color w:val="000000" w:themeColor="text1"/>
          <w:sz w:val="16"/>
          <w:szCs w:val="16"/>
        </w:rPr>
        <w:t>Wing</w:t>
      </w:r>
      <w:proofErr w:type="spellEnd"/>
      <w:r w:rsidRPr="004F7701">
        <w:rPr>
          <w:rFonts w:ascii="Verdana" w:hAnsi="Verdana"/>
          <w:color w:val="000000" w:themeColor="text1"/>
          <w:sz w:val="16"/>
          <w:szCs w:val="16"/>
        </w:rPr>
        <w:t xml:space="preserve">, </w:t>
      </w:r>
      <w:r w:rsidR="00F83C37" w:rsidRPr="004F7701">
        <w:rPr>
          <w:rFonts w:ascii="Verdana" w:hAnsi="Verdana"/>
          <w:color w:val="000000" w:themeColor="text1"/>
          <w:sz w:val="16"/>
          <w:szCs w:val="16"/>
        </w:rPr>
        <w:t>y</w:t>
      </w:r>
      <w:r w:rsidRPr="004F7701">
        <w:rPr>
          <w:rFonts w:ascii="Verdana" w:hAnsi="Verdana"/>
          <w:color w:val="000000" w:themeColor="text1"/>
          <w:sz w:val="16"/>
          <w:szCs w:val="16"/>
        </w:rPr>
        <w:t xml:space="preserve"> de 27 de setiembre de 2019</w:t>
      </w:r>
      <w:r w:rsidRPr="004F7701">
        <w:rPr>
          <w:rFonts w:ascii="Verdana" w:hAnsi="Verdana"/>
          <w:sz w:val="16"/>
          <w:szCs w:val="16"/>
        </w:rPr>
        <w:t xml:space="preserve"> en los casos</w:t>
      </w:r>
      <w:r w:rsidRPr="004F7701">
        <w:rPr>
          <w:rFonts w:ascii="Verdana" w:hAnsi="Verdana"/>
          <w:i/>
          <w:iCs/>
          <w:color w:val="000000" w:themeColor="text1"/>
          <w:sz w:val="16"/>
          <w:szCs w:val="16"/>
        </w:rPr>
        <w:t xml:space="preserve"> Lagos del Campo</w:t>
      </w:r>
      <w:r w:rsidRPr="004F7701">
        <w:rPr>
          <w:rFonts w:ascii="Verdana" w:hAnsi="Verdana"/>
          <w:color w:val="000000" w:themeColor="text1"/>
          <w:sz w:val="16"/>
          <w:szCs w:val="16"/>
        </w:rPr>
        <w:t xml:space="preserve">, </w:t>
      </w:r>
      <w:r w:rsidRPr="004F7701">
        <w:rPr>
          <w:rFonts w:ascii="Verdana" w:hAnsi="Verdana"/>
          <w:i/>
          <w:iCs/>
          <w:color w:val="000000" w:themeColor="text1"/>
          <w:sz w:val="16"/>
          <w:szCs w:val="16"/>
        </w:rPr>
        <w:t>Canales Huapaya y otro</w:t>
      </w:r>
      <w:r w:rsidR="00976C20" w:rsidRPr="004F7701">
        <w:rPr>
          <w:rFonts w:ascii="Verdana" w:hAnsi="Verdana"/>
          <w:i/>
          <w:iCs/>
          <w:color w:val="000000" w:themeColor="text1"/>
          <w:sz w:val="16"/>
          <w:szCs w:val="16"/>
        </w:rPr>
        <w:t>s</w:t>
      </w:r>
      <w:r w:rsidRPr="004F7701">
        <w:rPr>
          <w:rFonts w:ascii="Verdana" w:hAnsi="Verdana"/>
          <w:color w:val="000000" w:themeColor="text1"/>
          <w:sz w:val="16"/>
          <w:szCs w:val="16"/>
        </w:rPr>
        <w:t xml:space="preserve">, y </w:t>
      </w:r>
      <w:r w:rsidRPr="004F7701">
        <w:rPr>
          <w:rFonts w:ascii="Verdana" w:hAnsi="Verdana"/>
          <w:i/>
          <w:iCs/>
          <w:color w:val="000000" w:themeColor="text1"/>
          <w:sz w:val="16"/>
          <w:szCs w:val="16"/>
        </w:rPr>
        <w:t>Zegarra Marín</w:t>
      </w:r>
      <w:r w:rsidRPr="004F7701">
        <w:rPr>
          <w:rFonts w:ascii="Verdana" w:hAnsi="Verdana"/>
          <w:sz w:val="16"/>
          <w:szCs w:val="16"/>
        </w:rPr>
        <w:t xml:space="preserve"> </w:t>
      </w:r>
      <w:r w:rsidR="00B335BA" w:rsidRPr="004F7701">
        <w:rPr>
          <w:rFonts w:ascii="Verdana" w:hAnsi="Verdana"/>
          <w:sz w:val="16"/>
          <w:szCs w:val="16"/>
        </w:rPr>
        <w:t>(anexo</w:t>
      </w:r>
      <w:r w:rsidR="009F4F80">
        <w:rPr>
          <w:rFonts w:ascii="Verdana" w:hAnsi="Verdana"/>
          <w:sz w:val="16"/>
          <w:szCs w:val="16"/>
        </w:rPr>
        <w:t>s</w:t>
      </w:r>
      <w:r w:rsidR="00B335BA" w:rsidRPr="004F7701">
        <w:rPr>
          <w:rFonts w:ascii="Verdana" w:hAnsi="Verdana"/>
          <w:sz w:val="16"/>
          <w:szCs w:val="16"/>
        </w:rPr>
        <w:t xml:space="preserve"> a</w:t>
      </w:r>
      <w:r w:rsidR="009F4F80">
        <w:rPr>
          <w:rFonts w:ascii="Verdana" w:hAnsi="Verdana"/>
          <w:sz w:val="16"/>
          <w:szCs w:val="16"/>
        </w:rPr>
        <w:t xml:space="preserve"> </w:t>
      </w:r>
      <w:r w:rsidR="00B335BA" w:rsidRPr="004F7701">
        <w:rPr>
          <w:rFonts w:ascii="Verdana" w:hAnsi="Verdana"/>
          <w:sz w:val="16"/>
          <w:szCs w:val="16"/>
        </w:rPr>
        <w:t>l</w:t>
      </w:r>
      <w:r w:rsidR="009F4F80">
        <w:rPr>
          <w:rFonts w:ascii="Verdana" w:hAnsi="Verdana"/>
          <w:sz w:val="16"/>
          <w:szCs w:val="16"/>
        </w:rPr>
        <w:t>os</w:t>
      </w:r>
      <w:r w:rsidR="00B335BA" w:rsidRPr="004F7701">
        <w:rPr>
          <w:rFonts w:ascii="Verdana" w:hAnsi="Verdana"/>
          <w:sz w:val="16"/>
          <w:szCs w:val="16"/>
        </w:rPr>
        <w:t xml:space="preserve"> informe</w:t>
      </w:r>
      <w:r w:rsidR="009F4F80">
        <w:rPr>
          <w:rFonts w:ascii="Verdana" w:hAnsi="Verdana"/>
          <w:sz w:val="16"/>
          <w:szCs w:val="16"/>
        </w:rPr>
        <w:t>s</w:t>
      </w:r>
      <w:r w:rsidR="00B335BA" w:rsidRPr="004F7701">
        <w:rPr>
          <w:rFonts w:ascii="Verdana" w:hAnsi="Verdana"/>
          <w:sz w:val="16"/>
          <w:szCs w:val="16"/>
        </w:rPr>
        <w:t xml:space="preserve"> estatal</w:t>
      </w:r>
      <w:r w:rsidR="009F4F80">
        <w:rPr>
          <w:rFonts w:ascii="Verdana" w:hAnsi="Verdana"/>
          <w:sz w:val="16"/>
          <w:szCs w:val="16"/>
        </w:rPr>
        <w:t>es</w:t>
      </w:r>
      <w:r w:rsidR="00B335BA" w:rsidRPr="004F7701">
        <w:rPr>
          <w:rFonts w:ascii="Verdana" w:hAnsi="Verdana"/>
          <w:sz w:val="16"/>
          <w:szCs w:val="16"/>
        </w:rPr>
        <w:t xml:space="preserve"> de 20 de diciembre de 2019</w:t>
      </w:r>
      <w:r w:rsidR="009F4F80">
        <w:rPr>
          <w:rFonts w:ascii="Verdana" w:hAnsi="Verdana"/>
          <w:color w:val="000000" w:themeColor="text1"/>
          <w:sz w:val="16"/>
          <w:szCs w:val="16"/>
        </w:rPr>
        <w:t>, y</w:t>
      </w:r>
      <w:r w:rsidR="00B335BA" w:rsidRPr="004F7701">
        <w:rPr>
          <w:rFonts w:ascii="Verdana" w:hAnsi="Verdana"/>
          <w:sz w:val="16"/>
          <w:szCs w:val="16"/>
        </w:rPr>
        <w:t xml:space="preserve"> </w:t>
      </w:r>
      <w:r w:rsidR="009F4F80" w:rsidRPr="004F7701">
        <w:rPr>
          <w:rFonts w:ascii="Verdana" w:hAnsi="Verdana"/>
          <w:sz w:val="16"/>
          <w:szCs w:val="16"/>
        </w:rPr>
        <w:t>27 de junio</w:t>
      </w:r>
      <w:r w:rsidR="009F4F80">
        <w:rPr>
          <w:rFonts w:ascii="Verdana" w:hAnsi="Verdana"/>
          <w:color w:val="000000" w:themeColor="text1"/>
          <w:sz w:val="16"/>
          <w:szCs w:val="16"/>
        </w:rPr>
        <w:t>,</w:t>
      </w:r>
      <w:r w:rsidR="009F4F80" w:rsidRPr="004F7701">
        <w:rPr>
          <w:rFonts w:ascii="Verdana" w:hAnsi="Verdana"/>
          <w:sz w:val="16"/>
          <w:szCs w:val="16"/>
        </w:rPr>
        <w:t xml:space="preserve"> 19 de agosto</w:t>
      </w:r>
      <w:r w:rsidR="009F4F80">
        <w:rPr>
          <w:rFonts w:ascii="Verdana" w:hAnsi="Verdana"/>
          <w:sz w:val="16"/>
          <w:szCs w:val="16"/>
        </w:rPr>
        <w:t xml:space="preserve">, </w:t>
      </w:r>
      <w:r w:rsidR="009F4F80" w:rsidRPr="004F7701">
        <w:rPr>
          <w:rFonts w:ascii="Verdana" w:hAnsi="Verdana"/>
          <w:sz w:val="16"/>
          <w:szCs w:val="16"/>
        </w:rPr>
        <w:t>13 de noviembre</w:t>
      </w:r>
      <w:r w:rsidR="009F4F80">
        <w:rPr>
          <w:rFonts w:ascii="Verdana" w:hAnsi="Verdana"/>
          <w:color w:val="000000" w:themeColor="text1"/>
          <w:sz w:val="16"/>
          <w:szCs w:val="16"/>
        </w:rPr>
        <w:t xml:space="preserve"> y</w:t>
      </w:r>
      <w:r w:rsidR="009F4F80" w:rsidRPr="004F7701">
        <w:rPr>
          <w:rFonts w:ascii="Verdana" w:hAnsi="Verdana"/>
          <w:sz w:val="16"/>
          <w:szCs w:val="16"/>
        </w:rPr>
        <w:t xml:space="preserve"> 23 de diciembre de 2020</w:t>
      </w:r>
      <w:r w:rsidR="009F4F80" w:rsidRPr="004F7701">
        <w:rPr>
          <w:rFonts w:ascii="Verdana" w:hAnsi="Verdana"/>
          <w:color w:val="000000" w:themeColor="text1"/>
          <w:sz w:val="16"/>
          <w:szCs w:val="16"/>
        </w:rPr>
        <w:t>).</w:t>
      </w:r>
    </w:p>
  </w:footnote>
  <w:footnote w:id="10">
    <w:p w14:paraId="0C80B156" w14:textId="008738B1" w:rsidR="006B253C" w:rsidRPr="004F7701" w:rsidRDefault="00162C0B" w:rsidP="004F7701">
      <w:pPr>
        <w:pStyle w:val="Textonotapie"/>
        <w:tabs>
          <w:tab w:val="left" w:pos="567"/>
        </w:tabs>
        <w:jc w:val="both"/>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color w:val="000000" w:themeColor="text1"/>
          <w:sz w:val="16"/>
          <w:szCs w:val="16"/>
        </w:rPr>
        <w:t>Según explicó el Estado,</w:t>
      </w:r>
      <w:r w:rsidR="00F83C37" w:rsidRPr="004F7701">
        <w:rPr>
          <w:rFonts w:ascii="Verdana" w:hAnsi="Verdana"/>
          <w:color w:val="000000" w:themeColor="text1"/>
          <w:sz w:val="16"/>
          <w:szCs w:val="16"/>
        </w:rPr>
        <w:t xml:space="preserve"> </w:t>
      </w:r>
      <w:r w:rsidRPr="004F7701">
        <w:rPr>
          <w:rFonts w:ascii="Verdana" w:hAnsi="Verdana"/>
          <w:color w:val="000000" w:themeColor="text1"/>
          <w:sz w:val="16"/>
          <w:szCs w:val="16"/>
        </w:rPr>
        <w:t>el procedimiento a seguir</w:t>
      </w:r>
      <w:r w:rsidR="00F83C37" w:rsidRPr="004F7701">
        <w:rPr>
          <w:rFonts w:ascii="Verdana" w:hAnsi="Verdana"/>
          <w:color w:val="000000" w:themeColor="text1"/>
          <w:sz w:val="16"/>
          <w:szCs w:val="16"/>
        </w:rPr>
        <w:t xml:space="preserve"> </w:t>
      </w:r>
      <w:r w:rsidRPr="004F7701">
        <w:rPr>
          <w:rFonts w:ascii="Verdana" w:hAnsi="Verdana"/>
          <w:color w:val="000000" w:themeColor="text1"/>
          <w:sz w:val="16"/>
          <w:szCs w:val="16"/>
        </w:rPr>
        <w:t>consist</w:t>
      </w:r>
      <w:r w:rsidR="00D956EA" w:rsidRPr="004F7701">
        <w:rPr>
          <w:rFonts w:ascii="Verdana" w:hAnsi="Verdana"/>
          <w:color w:val="000000" w:themeColor="text1"/>
          <w:sz w:val="16"/>
          <w:szCs w:val="16"/>
        </w:rPr>
        <w:t>ió</w:t>
      </w:r>
      <w:r w:rsidRPr="004F7701">
        <w:rPr>
          <w:rFonts w:ascii="Verdana" w:hAnsi="Verdana"/>
          <w:color w:val="000000" w:themeColor="text1"/>
          <w:sz w:val="16"/>
          <w:szCs w:val="16"/>
        </w:rPr>
        <w:t xml:space="preserve"> en que </w:t>
      </w:r>
      <w:r w:rsidRPr="004F7701">
        <w:rPr>
          <w:rFonts w:ascii="Verdana" w:hAnsi="Verdana"/>
          <w:sz w:val="16"/>
          <w:szCs w:val="16"/>
          <w:lang w:val="es-MX"/>
        </w:rPr>
        <w:t>la</w:t>
      </w:r>
      <w:r w:rsidRPr="004F7701">
        <w:rPr>
          <w:rFonts w:ascii="Verdana" w:hAnsi="Verdana"/>
          <w:color w:val="000000" w:themeColor="text1"/>
          <w:sz w:val="16"/>
          <w:szCs w:val="16"/>
        </w:rPr>
        <w:t xml:space="preserve"> Procuraduría Pública Especializada Supranacional presentó ante </w:t>
      </w:r>
      <w:r w:rsidR="00F83C37" w:rsidRPr="004F7701">
        <w:rPr>
          <w:rFonts w:ascii="Verdana" w:hAnsi="Verdana"/>
          <w:color w:val="000000" w:themeColor="text1"/>
          <w:sz w:val="16"/>
          <w:szCs w:val="16"/>
        </w:rPr>
        <w:t xml:space="preserve">el Consejo de Defensa Jurídica del Estado </w:t>
      </w:r>
      <w:r w:rsidRPr="004F7701">
        <w:rPr>
          <w:rFonts w:ascii="Verdana" w:hAnsi="Verdana"/>
          <w:color w:val="000000" w:themeColor="text1"/>
          <w:sz w:val="16"/>
          <w:szCs w:val="16"/>
        </w:rPr>
        <w:t>“una propuesta de determinación de las entidades responsables del cumplimiento de las reparaciones económicas ordenadas” en cada uno de los</w:t>
      </w:r>
      <w:r w:rsidR="006B253C" w:rsidRPr="004F7701">
        <w:rPr>
          <w:rFonts w:ascii="Verdana" w:hAnsi="Verdana"/>
          <w:color w:val="000000" w:themeColor="text1"/>
          <w:sz w:val="16"/>
          <w:szCs w:val="16"/>
        </w:rPr>
        <w:t xml:space="preserve"> cinco</w:t>
      </w:r>
      <w:r w:rsidRPr="004F7701">
        <w:rPr>
          <w:rFonts w:ascii="Verdana" w:hAnsi="Verdana"/>
          <w:color w:val="000000" w:themeColor="text1"/>
          <w:sz w:val="16"/>
          <w:szCs w:val="16"/>
        </w:rPr>
        <w:t xml:space="preserve"> casos. La Secretaría Técnica de dicho Consejo elevó al </w:t>
      </w:r>
      <w:proofErr w:type="gramStart"/>
      <w:r w:rsidRPr="004F7701">
        <w:rPr>
          <w:rFonts w:ascii="Verdana" w:hAnsi="Verdana"/>
          <w:color w:val="000000" w:themeColor="text1"/>
          <w:sz w:val="16"/>
          <w:szCs w:val="16"/>
        </w:rPr>
        <w:t>Presidente</w:t>
      </w:r>
      <w:proofErr w:type="gramEnd"/>
      <w:r w:rsidRPr="004F7701">
        <w:rPr>
          <w:rFonts w:ascii="Verdana" w:hAnsi="Verdana"/>
          <w:color w:val="000000" w:themeColor="text1"/>
          <w:sz w:val="16"/>
          <w:szCs w:val="16"/>
        </w:rPr>
        <w:t xml:space="preserve"> de</w:t>
      </w:r>
      <w:r w:rsidR="00F83C37" w:rsidRPr="004F7701">
        <w:rPr>
          <w:rFonts w:ascii="Verdana" w:hAnsi="Verdana"/>
          <w:color w:val="000000" w:themeColor="text1"/>
          <w:sz w:val="16"/>
          <w:szCs w:val="16"/>
        </w:rPr>
        <w:t>l</w:t>
      </w:r>
      <w:r w:rsidRPr="004F7701">
        <w:rPr>
          <w:rFonts w:ascii="Verdana" w:hAnsi="Verdana"/>
          <w:color w:val="000000" w:themeColor="text1"/>
          <w:sz w:val="16"/>
          <w:szCs w:val="16"/>
        </w:rPr>
        <w:t xml:space="preserve"> Consejo </w:t>
      </w:r>
      <w:r w:rsidR="00F83C37" w:rsidRPr="004F7701">
        <w:rPr>
          <w:rFonts w:ascii="Verdana" w:hAnsi="Verdana"/>
          <w:color w:val="000000" w:themeColor="text1"/>
          <w:sz w:val="16"/>
          <w:szCs w:val="16"/>
        </w:rPr>
        <w:t>tal</w:t>
      </w:r>
      <w:r w:rsidRPr="004F7701">
        <w:rPr>
          <w:rFonts w:ascii="Verdana" w:hAnsi="Verdana"/>
          <w:color w:val="000000" w:themeColor="text1"/>
          <w:sz w:val="16"/>
          <w:szCs w:val="16"/>
        </w:rPr>
        <w:t xml:space="preserve"> “propuesta</w:t>
      </w:r>
      <w:r w:rsidR="006B253C" w:rsidRPr="004F7701">
        <w:rPr>
          <w:rFonts w:ascii="Verdana" w:hAnsi="Verdana"/>
          <w:color w:val="000000" w:themeColor="text1"/>
          <w:sz w:val="16"/>
          <w:szCs w:val="16"/>
        </w:rPr>
        <w:t>”</w:t>
      </w:r>
      <w:r w:rsidRPr="004F7701">
        <w:rPr>
          <w:rFonts w:ascii="Verdana" w:hAnsi="Verdana"/>
          <w:color w:val="000000" w:themeColor="text1"/>
          <w:sz w:val="16"/>
          <w:szCs w:val="16"/>
        </w:rPr>
        <w:t xml:space="preserve"> y</w:t>
      </w:r>
      <w:r w:rsidR="006B253C" w:rsidRPr="004F7701">
        <w:rPr>
          <w:rFonts w:ascii="Verdana" w:hAnsi="Verdana"/>
          <w:color w:val="000000" w:themeColor="text1"/>
          <w:sz w:val="16"/>
          <w:szCs w:val="16"/>
        </w:rPr>
        <w:t>,</w:t>
      </w:r>
      <w:r w:rsidRPr="004F7701">
        <w:rPr>
          <w:rFonts w:ascii="Verdana" w:hAnsi="Verdana"/>
          <w:color w:val="000000" w:themeColor="text1"/>
          <w:sz w:val="16"/>
          <w:szCs w:val="16"/>
        </w:rPr>
        <w:t xml:space="preserve"> además</w:t>
      </w:r>
      <w:r w:rsidR="006B253C" w:rsidRPr="004F7701">
        <w:rPr>
          <w:rFonts w:ascii="Verdana" w:hAnsi="Verdana"/>
          <w:color w:val="000000" w:themeColor="text1"/>
          <w:sz w:val="16"/>
          <w:szCs w:val="16"/>
        </w:rPr>
        <w:t>,</w:t>
      </w:r>
      <w:r w:rsidRPr="004F7701">
        <w:rPr>
          <w:rFonts w:ascii="Verdana" w:hAnsi="Verdana"/>
          <w:color w:val="000000" w:themeColor="text1"/>
          <w:sz w:val="16"/>
          <w:szCs w:val="16"/>
        </w:rPr>
        <w:t xml:space="preserve"> realizó </w:t>
      </w:r>
      <w:r w:rsidRPr="004F7701">
        <w:rPr>
          <w:rFonts w:ascii="Verdana" w:hAnsi="Verdana"/>
          <w:sz w:val="16"/>
          <w:szCs w:val="16"/>
          <w:lang w:val="es-MX"/>
        </w:rPr>
        <w:t>“las consultas respectivas con los</w:t>
      </w:r>
      <w:r w:rsidRPr="004F7701">
        <w:rPr>
          <w:rFonts w:ascii="Verdana" w:hAnsi="Verdana"/>
          <w:color w:val="000000" w:themeColor="text1"/>
          <w:sz w:val="16"/>
          <w:szCs w:val="16"/>
        </w:rPr>
        <w:t xml:space="preserve"> </w:t>
      </w:r>
      <w:r w:rsidRPr="004F7701">
        <w:rPr>
          <w:rFonts w:ascii="Verdana" w:hAnsi="Verdana"/>
          <w:sz w:val="16"/>
          <w:szCs w:val="16"/>
          <w:lang w:val="es-MX"/>
        </w:rPr>
        <w:t>sectores involucrados, a fin de que la determinación de responsabilidad de las entidades públicas</w:t>
      </w:r>
      <w:r w:rsidRPr="004F7701">
        <w:rPr>
          <w:rFonts w:ascii="Verdana" w:hAnsi="Verdana"/>
          <w:color w:val="000000" w:themeColor="text1"/>
          <w:sz w:val="16"/>
          <w:szCs w:val="16"/>
        </w:rPr>
        <w:t xml:space="preserve"> </w:t>
      </w:r>
      <w:r w:rsidRPr="004F7701">
        <w:rPr>
          <w:rFonts w:ascii="Verdana" w:hAnsi="Verdana"/>
          <w:sz w:val="16"/>
          <w:szCs w:val="16"/>
          <w:lang w:val="es-MX"/>
        </w:rPr>
        <w:t>sea congruente con los hechos y derechos humanos vulnerados del caso en particular y el marco</w:t>
      </w:r>
      <w:r w:rsidRPr="004F7701">
        <w:rPr>
          <w:rFonts w:ascii="Verdana" w:hAnsi="Verdana"/>
          <w:color w:val="000000" w:themeColor="text1"/>
          <w:sz w:val="16"/>
          <w:szCs w:val="16"/>
        </w:rPr>
        <w:t xml:space="preserve"> </w:t>
      </w:r>
      <w:r w:rsidRPr="004F7701">
        <w:rPr>
          <w:rFonts w:ascii="Verdana" w:hAnsi="Verdana"/>
          <w:sz w:val="16"/>
          <w:szCs w:val="16"/>
          <w:lang w:val="es-MX"/>
        </w:rPr>
        <w:t>jurídico interno imperante”.</w:t>
      </w:r>
    </w:p>
  </w:footnote>
  <w:footnote w:id="11">
    <w:p w14:paraId="576DFFF1" w14:textId="008738B1" w:rsidR="002736D0" w:rsidRPr="004F7701" w:rsidRDefault="002736D0"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t xml:space="preserve">Se encargó a los Procuradores Públicos de las entidades responsables las siguientes acciones: “i) el registro en el aplicativo del Ministerio de Economía y Finanzas (MEF) del pago de las reparaciones que deberá efectuarse a favor de las víctimas, </w:t>
      </w:r>
      <w:proofErr w:type="spellStart"/>
      <w:r w:rsidRPr="004F7701">
        <w:rPr>
          <w:rFonts w:ascii="Verdana" w:hAnsi="Verdana"/>
          <w:sz w:val="16"/>
          <w:szCs w:val="16"/>
        </w:rPr>
        <w:t>ii</w:t>
      </w:r>
      <w:proofErr w:type="spellEnd"/>
      <w:r w:rsidRPr="004F7701">
        <w:rPr>
          <w:rFonts w:ascii="Verdana" w:hAnsi="Verdana"/>
          <w:sz w:val="16"/>
          <w:szCs w:val="16"/>
        </w:rPr>
        <w:t xml:space="preserve">) efectuar las coordinaciones a fin de individualizar a los beneficiarios, </w:t>
      </w:r>
      <w:proofErr w:type="spellStart"/>
      <w:r w:rsidRPr="004F7701">
        <w:rPr>
          <w:rFonts w:ascii="Verdana" w:hAnsi="Verdana"/>
          <w:sz w:val="16"/>
          <w:szCs w:val="16"/>
        </w:rPr>
        <w:t>iii</w:t>
      </w:r>
      <w:proofErr w:type="spellEnd"/>
      <w:r w:rsidRPr="004F7701">
        <w:rPr>
          <w:rFonts w:ascii="Verdana" w:hAnsi="Verdana"/>
          <w:sz w:val="16"/>
          <w:szCs w:val="16"/>
        </w:rPr>
        <w:t xml:space="preserve">) consolidar los saldos pagados y pagos judicializados en sede interna, así como hacer el seguimiento de los procesos judiciales, extrajudiciales, investigaciones o procedimientos administrativos pendientes, en donde se encuentren involucradas las víctimas y/o beneficiarios, con la finalidad de evaluar la adopción de las acciones pertinentes con relación al pago -de ser el caso-, </w:t>
      </w:r>
      <w:proofErr w:type="spellStart"/>
      <w:r w:rsidRPr="004F7701">
        <w:rPr>
          <w:rFonts w:ascii="Verdana" w:hAnsi="Verdana"/>
          <w:sz w:val="16"/>
          <w:szCs w:val="16"/>
        </w:rPr>
        <w:t>iv</w:t>
      </w:r>
      <w:proofErr w:type="spellEnd"/>
      <w:r w:rsidRPr="004F7701">
        <w:rPr>
          <w:rFonts w:ascii="Verdana" w:hAnsi="Verdana"/>
          <w:sz w:val="16"/>
          <w:szCs w:val="16"/>
        </w:rPr>
        <w:t>) coordinar con los titulares de los otros sectores responsables del pago de las reparaciones fijadas [...] a fin que se realice de forma mancomunada y equitativa entre los mismos”.</w:t>
      </w:r>
    </w:p>
  </w:footnote>
  <w:footnote w:id="12">
    <w:p w14:paraId="7D7C8092" w14:textId="0CEEFF61" w:rsidR="00543B51" w:rsidRPr="00543B51" w:rsidRDefault="006037FD" w:rsidP="004F7701">
      <w:pPr>
        <w:pStyle w:val="Textonotapie"/>
        <w:tabs>
          <w:tab w:val="left" w:pos="567"/>
        </w:tabs>
        <w:jc w:val="both"/>
        <w:rPr>
          <w:rFonts w:ascii="Verdana" w:hAnsi="Verdana"/>
          <w:color w:val="000000" w:themeColor="text1"/>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i/>
          <w:iCs/>
          <w:sz w:val="16"/>
          <w:szCs w:val="16"/>
        </w:rPr>
        <w:t xml:space="preserve">Cfr. </w:t>
      </w:r>
      <w:r w:rsidR="00CD153B" w:rsidRPr="004F7701">
        <w:rPr>
          <w:rFonts w:ascii="Verdana" w:hAnsi="Verdana"/>
          <w:sz w:val="16"/>
          <w:szCs w:val="16"/>
        </w:rPr>
        <w:t>Oficios de 18 y 21 de octubre de 2019 dirigidos a los Procuradores Públicos del Ministerio de Justicia y Derechos Humanos, y Poder Judicial</w:t>
      </w:r>
      <w:r w:rsidR="00CD153B" w:rsidRPr="004F7701">
        <w:rPr>
          <w:rFonts w:ascii="Verdana" w:hAnsi="Verdana"/>
          <w:color w:val="000000" w:themeColor="text1"/>
          <w:sz w:val="16"/>
          <w:szCs w:val="16"/>
        </w:rPr>
        <w:t xml:space="preserve">; </w:t>
      </w:r>
      <w:r w:rsidR="00600377" w:rsidRPr="004F7701">
        <w:rPr>
          <w:rFonts w:ascii="Verdana" w:hAnsi="Verdana"/>
          <w:sz w:val="16"/>
          <w:szCs w:val="16"/>
        </w:rPr>
        <w:t>Oficios de 22 de octubre de 2019 dirigidos a los Procuradores Públicos del Fuero Militar Policial, Poder Judicial, Ministerio Público y Ministerio de Defensa</w:t>
      </w:r>
      <w:r w:rsidR="00600377" w:rsidRPr="004F7701">
        <w:rPr>
          <w:rFonts w:ascii="Verdana" w:hAnsi="Verdana"/>
          <w:color w:val="000000" w:themeColor="text1"/>
          <w:sz w:val="16"/>
          <w:szCs w:val="16"/>
        </w:rPr>
        <w:t>;</w:t>
      </w:r>
      <w:r w:rsidR="00600377" w:rsidRPr="004F7701">
        <w:rPr>
          <w:rFonts w:ascii="Verdana" w:hAnsi="Verdana"/>
          <w:b/>
          <w:bCs/>
          <w:color w:val="000000" w:themeColor="text1"/>
          <w:sz w:val="16"/>
          <w:szCs w:val="16"/>
        </w:rPr>
        <w:t xml:space="preserve"> </w:t>
      </w:r>
      <w:r w:rsidR="00476D98" w:rsidRPr="004F7701">
        <w:rPr>
          <w:rFonts w:ascii="Verdana" w:hAnsi="Verdana"/>
          <w:sz w:val="16"/>
          <w:szCs w:val="16"/>
        </w:rPr>
        <w:t xml:space="preserve">Oficio de 16 de enero de 2020 dirigido al Procurador </w:t>
      </w:r>
      <w:r w:rsidR="00A4793F" w:rsidRPr="004F7701">
        <w:rPr>
          <w:rFonts w:ascii="Verdana" w:hAnsi="Verdana"/>
          <w:sz w:val="16"/>
          <w:szCs w:val="16"/>
        </w:rPr>
        <w:t xml:space="preserve">Público </w:t>
      </w:r>
      <w:r w:rsidR="00476D98" w:rsidRPr="004F7701">
        <w:rPr>
          <w:rFonts w:ascii="Verdana" w:hAnsi="Verdana"/>
          <w:sz w:val="16"/>
          <w:szCs w:val="16"/>
        </w:rPr>
        <w:t>del Poder Judicial</w:t>
      </w:r>
      <w:r w:rsidR="00600377" w:rsidRPr="004F7701">
        <w:rPr>
          <w:rFonts w:ascii="Verdana" w:hAnsi="Verdana"/>
          <w:color w:val="000000" w:themeColor="text1"/>
          <w:sz w:val="16"/>
          <w:szCs w:val="16"/>
        </w:rPr>
        <w:t>;</w:t>
      </w:r>
      <w:r w:rsidR="00476D98" w:rsidRPr="004F7701">
        <w:rPr>
          <w:rFonts w:ascii="Verdana" w:hAnsi="Verdana"/>
          <w:color w:val="000000" w:themeColor="text1"/>
          <w:sz w:val="16"/>
          <w:szCs w:val="16"/>
        </w:rPr>
        <w:t xml:space="preserve"> </w:t>
      </w:r>
      <w:r w:rsidR="00600377" w:rsidRPr="004F7701">
        <w:rPr>
          <w:rFonts w:ascii="Verdana" w:hAnsi="Verdana"/>
          <w:sz w:val="16"/>
          <w:szCs w:val="16"/>
        </w:rPr>
        <w:t>Oficios de 22 de enero de 2020 dirigidos a los Procuradores Públicos del</w:t>
      </w:r>
      <w:r w:rsidR="00600377" w:rsidRPr="004F7701">
        <w:rPr>
          <w:rFonts w:ascii="Verdana" w:hAnsi="Verdana"/>
          <w:b/>
          <w:bCs/>
          <w:color w:val="000000" w:themeColor="text1"/>
          <w:sz w:val="16"/>
          <w:szCs w:val="16"/>
        </w:rPr>
        <w:t xml:space="preserve"> </w:t>
      </w:r>
      <w:r w:rsidR="00600377" w:rsidRPr="004F7701">
        <w:rPr>
          <w:rFonts w:ascii="Verdana" w:hAnsi="Verdana"/>
          <w:sz w:val="16"/>
          <w:szCs w:val="16"/>
        </w:rPr>
        <w:t>Congreso de la República, Tribunal Constitucional</w:t>
      </w:r>
      <w:r w:rsidR="00600377" w:rsidRPr="004F7701">
        <w:rPr>
          <w:rFonts w:ascii="Verdana" w:hAnsi="Verdana"/>
          <w:color w:val="000000" w:themeColor="text1"/>
          <w:sz w:val="16"/>
          <w:szCs w:val="16"/>
        </w:rPr>
        <w:t xml:space="preserve"> y </w:t>
      </w:r>
      <w:r w:rsidR="00600377" w:rsidRPr="004F7701">
        <w:rPr>
          <w:rFonts w:ascii="Verdana" w:hAnsi="Verdana"/>
          <w:sz w:val="16"/>
          <w:szCs w:val="16"/>
        </w:rPr>
        <w:t>Poder Judicial</w:t>
      </w:r>
      <w:r w:rsidR="00F155EA" w:rsidRPr="004F7701">
        <w:rPr>
          <w:rFonts w:ascii="Verdana" w:hAnsi="Verdana"/>
          <w:color w:val="000000" w:themeColor="text1"/>
          <w:sz w:val="16"/>
          <w:szCs w:val="16"/>
        </w:rPr>
        <w:t>,</w:t>
      </w:r>
      <w:r w:rsidR="00E00484" w:rsidRPr="004F7701">
        <w:rPr>
          <w:rFonts w:ascii="Verdana" w:hAnsi="Verdana"/>
          <w:color w:val="000000" w:themeColor="text1"/>
          <w:sz w:val="16"/>
          <w:szCs w:val="16"/>
        </w:rPr>
        <w:t xml:space="preserve"> y</w:t>
      </w:r>
      <w:r w:rsidR="00600377" w:rsidRPr="004F7701">
        <w:rPr>
          <w:rFonts w:ascii="Verdana" w:hAnsi="Verdana"/>
          <w:color w:val="000000" w:themeColor="text1"/>
          <w:sz w:val="16"/>
          <w:szCs w:val="16"/>
        </w:rPr>
        <w:t xml:space="preserve"> </w:t>
      </w:r>
      <w:r w:rsidR="00E00484" w:rsidRPr="004F7701">
        <w:rPr>
          <w:rFonts w:ascii="Verdana" w:hAnsi="Verdana"/>
          <w:sz w:val="16"/>
          <w:szCs w:val="16"/>
        </w:rPr>
        <w:t>Oficio de 22 de enero de 2020 dirigido al</w:t>
      </w:r>
      <w:r w:rsidR="00E00484" w:rsidRPr="004F7701">
        <w:rPr>
          <w:rFonts w:ascii="Verdana" w:hAnsi="Verdana"/>
          <w:color w:val="000000" w:themeColor="text1"/>
          <w:sz w:val="16"/>
          <w:szCs w:val="16"/>
        </w:rPr>
        <w:t xml:space="preserve"> </w:t>
      </w:r>
      <w:r w:rsidR="00E00484" w:rsidRPr="004F7701">
        <w:rPr>
          <w:rFonts w:ascii="Verdana" w:hAnsi="Verdana"/>
          <w:sz w:val="16"/>
          <w:szCs w:val="16"/>
        </w:rPr>
        <w:t>Poder Judicial</w:t>
      </w:r>
      <w:r w:rsidR="00543B51">
        <w:rPr>
          <w:rFonts w:ascii="Verdana" w:hAnsi="Verdana"/>
          <w:color w:val="000000" w:themeColor="text1"/>
          <w:sz w:val="16"/>
          <w:szCs w:val="16"/>
        </w:rPr>
        <w:t xml:space="preserve"> </w:t>
      </w:r>
      <w:r w:rsidR="00734A51" w:rsidRPr="004F7701">
        <w:rPr>
          <w:rFonts w:ascii="Verdana" w:hAnsi="Verdana"/>
          <w:sz w:val="16"/>
          <w:szCs w:val="16"/>
        </w:rPr>
        <w:t>(anexos a</w:t>
      </w:r>
      <w:r w:rsidR="002B649C">
        <w:rPr>
          <w:rFonts w:ascii="Verdana" w:hAnsi="Verdana"/>
          <w:sz w:val="16"/>
          <w:szCs w:val="16"/>
        </w:rPr>
        <w:t xml:space="preserve"> </w:t>
      </w:r>
      <w:r w:rsidR="00734A51" w:rsidRPr="004F7701">
        <w:rPr>
          <w:rFonts w:ascii="Verdana" w:hAnsi="Verdana"/>
          <w:sz w:val="16"/>
          <w:szCs w:val="16"/>
        </w:rPr>
        <w:t>l</w:t>
      </w:r>
      <w:r w:rsidR="002B649C">
        <w:rPr>
          <w:rFonts w:ascii="Verdana" w:hAnsi="Verdana"/>
          <w:sz w:val="16"/>
          <w:szCs w:val="16"/>
        </w:rPr>
        <w:t>os</w:t>
      </w:r>
      <w:r w:rsidR="00734A51" w:rsidRPr="004F7701">
        <w:rPr>
          <w:rFonts w:ascii="Verdana" w:hAnsi="Verdana"/>
          <w:sz w:val="16"/>
          <w:szCs w:val="16"/>
        </w:rPr>
        <w:t xml:space="preserve"> informe</w:t>
      </w:r>
      <w:r w:rsidR="002B649C">
        <w:rPr>
          <w:rFonts w:ascii="Verdana" w:hAnsi="Verdana"/>
          <w:sz w:val="16"/>
          <w:szCs w:val="16"/>
        </w:rPr>
        <w:t>s</w:t>
      </w:r>
      <w:r w:rsidR="00734A51" w:rsidRPr="004F7701">
        <w:rPr>
          <w:rFonts w:ascii="Verdana" w:hAnsi="Verdana"/>
          <w:sz w:val="16"/>
          <w:szCs w:val="16"/>
        </w:rPr>
        <w:t xml:space="preserve"> estatal</w:t>
      </w:r>
      <w:r w:rsidR="002B649C">
        <w:rPr>
          <w:rFonts w:ascii="Verdana" w:hAnsi="Verdana"/>
          <w:sz w:val="16"/>
          <w:szCs w:val="16"/>
        </w:rPr>
        <w:t>es</w:t>
      </w:r>
      <w:r w:rsidR="00734A51" w:rsidRPr="004F7701">
        <w:rPr>
          <w:rFonts w:ascii="Verdana" w:hAnsi="Verdana"/>
          <w:sz w:val="16"/>
          <w:szCs w:val="16"/>
        </w:rPr>
        <w:t xml:space="preserve"> de </w:t>
      </w:r>
      <w:r w:rsidR="00543B51" w:rsidRPr="004F7701">
        <w:rPr>
          <w:rFonts w:ascii="Verdana" w:hAnsi="Verdana"/>
          <w:sz w:val="16"/>
          <w:szCs w:val="16"/>
        </w:rPr>
        <w:t>20 de diciembre de 2019</w:t>
      </w:r>
      <w:r w:rsidR="00543B51">
        <w:rPr>
          <w:rFonts w:ascii="Verdana" w:hAnsi="Verdana"/>
          <w:sz w:val="16"/>
          <w:szCs w:val="16"/>
        </w:rPr>
        <w:t xml:space="preserve">, y </w:t>
      </w:r>
      <w:r w:rsidR="00543B51" w:rsidRPr="004F7701">
        <w:rPr>
          <w:rFonts w:ascii="Verdana" w:hAnsi="Verdana"/>
          <w:sz w:val="16"/>
          <w:szCs w:val="16"/>
        </w:rPr>
        <w:t>27 de junio</w:t>
      </w:r>
      <w:r w:rsidR="00543B51">
        <w:rPr>
          <w:rFonts w:ascii="Verdana" w:hAnsi="Verdana"/>
          <w:sz w:val="16"/>
          <w:szCs w:val="16"/>
        </w:rPr>
        <w:t xml:space="preserve">, </w:t>
      </w:r>
      <w:r w:rsidR="00543B51" w:rsidRPr="004F7701">
        <w:rPr>
          <w:rFonts w:ascii="Verdana" w:hAnsi="Verdana"/>
          <w:sz w:val="16"/>
          <w:szCs w:val="16"/>
        </w:rPr>
        <w:t>19 de agosto</w:t>
      </w:r>
      <w:r w:rsidR="00543B51">
        <w:rPr>
          <w:rFonts w:ascii="Verdana" w:hAnsi="Verdana"/>
          <w:sz w:val="16"/>
          <w:szCs w:val="16"/>
        </w:rPr>
        <w:t xml:space="preserve">, </w:t>
      </w:r>
      <w:r w:rsidR="00734A51" w:rsidRPr="004F7701">
        <w:rPr>
          <w:rFonts w:ascii="Verdana" w:hAnsi="Verdana"/>
          <w:sz w:val="16"/>
          <w:szCs w:val="16"/>
        </w:rPr>
        <w:t xml:space="preserve">13 de noviembre </w:t>
      </w:r>
      <w:r w:rsidR="00543B51">
        <w:rPr>
          <w:rFonts w:ascii="Verdana" w:hAnsi="Verdana"/>
          <w:sz w:val="16"/>
          <w:szCs w:val="16"/>
        </w:rPr>
        <w:t xml:space="preserve">y </w:t>
      </w:r>
      <w:r w:rsidR="00543B51" w:rsidRPr="004F7701">
        <w:rPr>
          <w:rFonts w:ascii="Verdana" w:hAnsi="Verdana"/>
          <w:sz w:val="16"/>
          <w:szCs w:val="16"/>
        </w:rPr>
        <w:t>23 de diciembre de 2020</w:t>
      </w:r>
      <w:r w:rsidR="00543B51">
        <w:rPr>
          <w:rFonts w:ascii="Verdana" w:hAnsi="Verdana"/>
          <w:sz w:val="16"/>
          <w:szCs w:val="16"/>
        </w:rPr>
        <w:t xml:space="preserve"> </w:t>
      </w:r>
      <w:r w:rsidR="00A905A5">
        <w:rPr>
          <w:rFonts w:ascii="Verdana" w:hAnsi="Verdana"/>
          <w:sz w:val="16"/>
          <w:szCs w:val="16"/>
        </w:rPr>
        <w:t>en</w:t>
      </w:r>
      <w:r w:rsidR="00543B51">
        <w:rPr>
          <w:rFonts w:ascii="Verdana" w:hAnsi="Verdana"/>
          <w:color w:val="000000" w:themeColor="text1"/>
          <w:sz w:val="16"/>
          <w:szCs w:val="16"/>
        </w:rPr>
        <w:t xml:space="preserve"> los casos </w:t>
      </w:r>
      <w:r w:rsidR="00543B51" w:rsidRPr="004F7701">
        <w:rPr>
          <w:rFonts w:ascii="Verdana" w:hAnsi="Verdana"/>
          <w:i/>
          <w:iCs/>
          <w:color w:val="000000" w:themeColor="text1"/>
          <w:sz w:val="16"/>
          <w:szCs w:val="16"/>
        </w:rPr>
        <w:t>Tarazona Arrieta y otros</w:t>
      </w:r>
      <w:r w:rsidR="00543B51">
        <w:rPr>
          <w:rFonts w:ascii="Verdana" w:hAnsi="Verdana"/>
          <w:color w:val="000000" w:themeColor="text1"/>
          <w:sz w:val="16"/>
          <w:szCs w:val="16"/>
        </w:rPr>
        <w:t xml:space="preserve">, </w:t>
      </w:r>
      <w:r w:rsidR="00543B51" w:rsidRPr="004F7701">
        <w:rPr>
          <w:rFonts w:ascii="Verdana" w:hAnsi="Verdana"/>
          <w:i/>
          <w:iCs/>
          <w:color w:val="000000" w:themeColor="text1"/>
          <w:sz w:val="16"/>
          <w:szCs w:val="16"/>
        </w:rPr>
        <w:t>Lagos del Campo</w:t>
      </w:r>
      <w:r w:rsidR="00543B51">
        <w:rPr>
          <w:rFonts w:ascii="Verdana" w:hAnsi="Verdana"/>
          <w:color w:val="000000" w:themeColor="text1"/>
          <w:sz w:val="16"/>
          <w:szCs w:val="16"/>
        </w:rPr>
        <w:t xml:space="preserve">, </w:t>
      </w:r>
      <w:r w:rsidR="00543B51" w:rsidRPr="004F7701">
        <w:rPr>
          <w:rFonts w:ascii="Verdana" w:hAnsi="Verdana"/>
          <w:i/>
          <w:iCs/>
          <w:color w:val="000000" w:themeColor="text1"/>
          <w:sz w:val="16"/>
          <w:szCs w:val="16"/>
        </w:rPr>
        <w:t>Canales Huapaya y otros</w:t>
      </w:r>
      <w:r w:rsidR="00543B51">
        <w:rPr>
          <w:rFonts w:ascii="Verdana" w:hAnsi="Verdana"/>
          <w:color w:val="000000" w:themeColor="text1"/>
          <w:sz w:val="16"/>
          <w:szCs w:val="16"/>
        </w:rPr>
        <w:t xml:space="preserve">, </w:t>
      </w:r>
      <w:r w:rsidR="00543B51" w:rsidRPr="004F7701">
        <w:rPr>
          <w:rFonts w:ascii="Verdana" w:hAnsi="Verdana"/>
          <w:i/>
          <w:iCs/>
          <w:color w:val="000000" w:themeColor="text1"/>
          <w:sz w:val="16"/>
          <w:szCs w:val="16"/>
        </w:rPr>
        <w:t xml:space="preserve">Wong Ho </w:t>
      </w:r>
      <w:proofErr w:type="spellStart"/>
      <w:r w:rsidR="00543B51" w:rsidRPr="004F7701">
        <w:rPr>
          <w:rFonts w:ascii="Verdana" w:hAnsi="Verdana"/>
          <w:i/>
          <w:iCs/>
          <w:color w:val="000000" w:themeColor="text1"/>
          <w:sz w:val="16"/>
          <w:szCs w:val="16"/>
        </w:rPr>
        <w:t>Wing</w:t>
      </w:r>
      <w:proofErr w:type="spellEnd"/>
      <w:r w:rsidR="00543B51">
        <w:rPr>
          <w:rFonts w:ascii="Verdana" w:hAnsi="Verdana"/>
          <w:color w:val="000000" w:themeColor="text1"/>
          <w:sz w:val="16"/>
          <w:szCs w:val="16"/>
        </w:rPr>
        <w:t xml:space="preserve">, y </w:t>
      </w:r>
      <w:r w:rsidR="00543B51" w:rsidRPr="004F7701">
        <w:rPr>
          <w:rFonts w:ascii="Verdana" w:hAnsi="Verdana"/>
          <w:i/>
          <w:iCs/>
          <w:sz w:val="16"/>
          <w:szCs w:val="16"/>
        </w:rPr>
        <w:t>Zegarra Marín</w:t>
      </w:r>
      <w:r w:rsidR="00543B51" w:rsidRPr="004F7701">
        <w:rPr>
          <w:rFonts w:ascii="Verdana" w:hAnsi="Verdana"/>
          <w:color w:val="000000" w:themeColor="text1"/>
          <w:sz w:val="16"/>
          <w:szCs w:val="16"/>
        </w:rPr>
        <w:t>)</w:t>
      </w:r>
      <w:r w:rsidR="00543B51">
        <w:rPr>
          <w:rFonts w:ascii="Verdana" w:hAnsi="Verdana"/>
          <w:color w:val="000000" w:themeColor="text1"/>
          <w:sz w:val="16"/>
          <w:szCs w:val="16"/>
        </w:rPr>
        <w:t>.</w:t>
      </w:r>
    </w:p>
  </w:footnote>
  <w:footnote w:id="13">
    <w:p w14:paraId="1A76DA26" w14:textId="506E2901" w:rsidR="00680C24" w:rsidRPr="004F7701" w:rsidRDefault="00680C24" w:rsidP="004F7701">
      <w:pPr>
        <w:pStyle w:val="Textonotapie"/>
        <w:tabs>
          <w:tab w:val="left" w:pos="567"/>
        </w:tabs>
        <w:jc w:val="both"/>
        <w:rPr>
          <w:rFonts w:ascii="Verdana" w:hAnsi="Verdana"/>
          <w:b/>
          <w:bCs/>
          <w:color w:val="000000" w:themeColor="text1"/>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i/>
          <w:iCs/>
          <w:sz w:val="16"/>
          <w:szCs w:val="16"/>
        </w:rPr>
        <w:t>Cfr.</w:t>
      </w:r>
      <w:r w:rsidRPr="004F7701">
        <w:rPr>
          <w:rFonts w:ascii="Verdana" w:hAnsi="Verdana"/>
          <w:sz w:val="16"/>
          <w:szCs w:val="16"/>
        </w:rPr>
        <w:t xml:space="preserve"> Informes estatales de 27 de junio</w:t>
      </w:r>
      <w:r w:rsidRPr="004F7701">
        <w:rPr>
          <w:rFonts w:ascii="Verdana" w:hAnsi="Verdana"/>
          <w:color w:val="000000" w:themeColor="text1"/>
          <w:sz w:val="16"/>
          <w:szCs w:val="16"/>
        </w:rPr>
        <w:t xml:space="preserve">, </w:t>
      </w:r>
      <w:r w:rsidRPr="004F7701">
        <w:rPr>
          <w:rFonts w:ascii="Verdana" w:hAnsi="Verdana"/>
          <w:sz w:val="16"/>
          <w:szCs w:val="16"/>
        </w:rPr>
        <w:t>13 de noviembre</w:t>
      </w:r>
      <w:r w:rsidR="00734A51">
        <w:rPr>
          <w:rFonts w:ascii="Verdana" w:hAnsi="Verdana"/>
          <w:sz w:val="16"/>
          <w:szCs w:val="16"/>
        </w:rPr>
        <w:t xml:space="preserve"> y </w:t>
      </w:r>
      <w:r w:rsidRPr="004F7701">
        <w:rPr>
          <w:rFonts w:ascii="Verdana" w:hAnsi="Verdana"/>
          <w:sz w:val="16"/>
          <w:szCs w:val="16"/>
        </w:rPr>
        <w:t>23 de diciembre de 2020</w:t>
      </w:r>
      <w:r w:rsidR="00734A51">
        <w:rPr>
          <w:rFonts w:ascii="Verdana" w:hAnsi="Verdana"/>
          <w:sz w:val="16"/>
          <w:szCs w:val="16"/>
        </w:rPr>
        <w:t>,</w:t>
      </w:r>
      <w:r w:rsidR="00734A51" w:rsidRPr="004F7701">
        <w:rPr>
          <w:rFonts w:ascii="Verdana" w:hAnsi="Verdana"/>
          <w:color w:val="000000" w:themeColor="text1"/>
          <w:sz w:val="16"/>
          <w:szCs w:val="16"/>
        </w:rPr>
        <w:t xml:space="preserve"> </w:t>
      </w:r>
      <w:r w:rsidR="00734A51">
        <w:rPr>
          <w:rFonts w:ascii="Verdana" w:hAnsi="Verdana"/>
          <w:color w:val="000000" w:themeColor="text1"/>
          <w:sz w:val="16"/>
          <w:szCs w:val="16"/>
        </w:rPr>
        <w:t xml:space="preserve">y </w:t>
      </w:r>
      <w:r w:rsidRPr="004F7701">
        <w:rPr>
          <w:rFonts w:ascii="Verdana" w:hAnsi="Verdana"/>
          <w:sz w:val="16"/>
          <w:szCs w:val="16"/>
        </w:rPr>
        <w:t xml:space="preserve">23 de febrero </w:t>
      </w:r>
      <w:r w:rsidR="00F155EA" w:rsidRPr="004F7701">
        <w:rPr>
          <w:rFonts w:ascii="Verdana" w:hAnsi="Verdana"/>
          <w:sz w:val="16"/>
          <w:szCs w:val="16"/>
        </w:rPr>
        <w:t>y</w:t>
      </w:r>
      <w:r w:rsidRPr="004F7701">
        <w:rPr>
          <w:rFonts w:ascii="Verdana" w:hAnsi="Verdana"/>
          <w:sz w:val="16"/>
          <w:szCs w:val="16"/>
        </w:rPr>
        <w:t xml:space="preserve"> 5 de mayo de 2021 </w:t>
      </w:r>
      <w:r w:rsidR="00734A51" w:rsidRPr="004F7701">
        <w:rPr>
          <w:rFonts w:ascii="Verdana" w:hAnsi="Verdana"/>
          <w:sz w:val="16"/>
          <w:szCs w:val="16"/>
        </w:rPr>
        <w:t xml:space="preserve">en </w:t>
      </w:r>
      <w:r w:rsidR="00734A51">
        <w:rPr>
          <w:rFonts w:ascii="Verdana" w:hAnsi="Verdana"/>
          <w:sz w:val="16"/>
          <w:szCs w:val="16"/>
        </w:rPr>
        <w:t>los casos</w:t>
      </w:r>
      <w:r w:rsidR="00734A51" w:rsidRPr="004F7701">
        <w:rPr>
          <w:rFonts w:ascii="Verdana" w:hAnsi="Verdana"/>
          <w:i/>
          <w:iCs/>
          <w:color w:val="000000" w:themeColor="text1"/>
          <w:sz w:val="16"/>
          <w:szCs w:val="16"/>
        </w:rPr>
        <w:t xml:space="preserve"> Lagos del Campo</w:t>
      </w:r>
      <w:r w:rsidR="00734A51">
        <w:rPr>
          <w:rFonts w:ascii="Verdana" w:hAnsi="Verdana"/>
          <w:i/>
          <w:iCs/>
          <w:color w:val="000000" w:themeColor="text1"/>
          <w:sz w:val="16"/>
          <w:szCs w:val="16"/>
        </w:rPr>
        <w:t>,</w:t>
      </w:r>
      <w:r w:rsidR="00734A51" w:rsidRPr="00734A51">
        <w:rPr>
          <w:rFonts w:ascii="Verdana" w:hAnsi="Verdana"/>
          <w:i/>
          <w:iCs/>
          <w:sz w:val="16"/>
          <w:szCs w:val="16"/>
        </w:rPr>
        <w:t xml:space="preserve"> </w:t>
      </w:r>
      <w:r w:rsidR="00734A51" w:rsidRPr="004F7701">
        <w:rPr>
          <w:rFonts w:ascii="Verdana" w:hAnsi="Verdana"/>
          <w:i/>
          <w:iCs/>
          <w:sz w:val="16"/>
          <w:szCs w:val="16"/>
        </w:rPr>
        <w:t xml:space="preserve">Wong Ho </w:t>
      </w:r>
      <w:proofErr w:type="spellStart"/>
      <w:r w:rsidR="00734A51" w:rsidRPr="004F7701">
        <w:rPr>
          <w:rFonts w:ascii="Verdana" w:hAnsi="Verdana"/>
          <w:i/>
          <w:iCs/>
          <w:sz w:val="16"/>
          <w:szCs w:val="16"/>
        </w:rPr>
        <w:t>Wing</w:t>
      </w:r>
      <w:proofErr w:type="spellEnd"/>
      <w:r w:rsidR="00734A51" w:rsidRPr="004F7701">
        <w:rPr>
          <w:rFonts w:ascii="Verdana" w:hAnsi="Verdana"/>
          <w:sz w:val="16"/>
          <w:szCs w:val="16"/>
        </w:rPr>
        <w:t>,</w:t>
      </w:r>
      <w:r w:rsidR="00734A51">
        <w:rPr>
          <w:rFonts w:ascii="Verdana" w:hAnsi="Verdana"/>
          <w:sz w:val="16"/>
          <w:szCs w:val="16"/>
        </w:rPr>
        <w:t xml:space="preserve"> </w:t>
      </w:r>
      <w:r w:rsidR="00734A51" w:rsidRPr="004F7701">
        <w:rPr>
          <w:rFonts w:ascii="Verdana" w:hAnsi="Verdana"/>
          <w:i/>
          <w:iCs/>
          <w:color w:val="000000" w:themeColor="text1"/>
          <w:sz w:val="16"/>
          <w:szCs w:val="16"/>
        </w:rPr>
        <w:t>Zegarra Marín</w:t>
      </w:r>
      <w:r w:rsidR="00734A51">
        <w:rPr>
          <w:rFonts w:ascii="Verdana" w:hAnsi="Verdana"/>
          <w:i/>
          <w:iCs/>
          <w:color w:val="000000" w:themeColor="text1"/>
          <w:sz w:val="16"/>
          <w:szCs w:val="16"/>
        </w:rPr>
        <w:t xml:space="preserve">, </w:t>
      </w:r>
      <w:r w:rsidR="00734A51" w:rsidRPr="004F7701">
        <w:rPr>
          <w:rFonts w:ascii="Verdana" w:hAnsi="Verdana"/>
          <w:i/>
          <w:iCs/>
          <w:color w:val="000000" w:themeColor="text1"/>
          <w:sz w:val="16"/>
          <w:szCs w:val="16"/>
        </w:rPr>
        <w:t>Canales Huapaya y otros</w:t>
      </w:r>
      <w:r w:rsidR="00734A51" w:rsidRPr="00734A51">
        <w:rPr>
          <w:rFonts w:ascii="Verdana" w:hAnsi="Verdana"/>
          <w:color w:val="000000" w:themeColor="text1"/>
          <w:sz w:val="16"/>
          <w:szCs w:val="16"/>
        </w:rPr>
        <w:t>, y</w:t>
      </w:r>
      <w:r w:rsidR="00734A51">
        <w:rPr>
          <w:rFonts w:ascii="Verdana" w:hAnsi="Verdana"/>
          <w:i/>
          <w:iCs/>
          <w:color w:val="000000" w:themeColor="text1"/>
          <w:sz w:val="16"/>
          <w:szCs w:val="16"/>
        </w:rPr>
        <w:t xml:space="preserve"> </w:t>
      </w:r>
      <w:r w:rsidR="00734A51" w:rsidRPr="004F7701">
        <w:rPr>
          <w:rFonts w:ascii="Verdana" w:hAnsi="Verdana"/>
          <w:i/>
          <w:iCs/>
          <w:color w:val="000000" w:themeColor="text1"/>
          <w:sz w:val="16"/>
          <w:szCs w:val="16"/>
        </w:rPr>
        <w:t>Tarazona Arrieta y otros</w:t>
      </w:r>
      <w:r w:rsidR="00734A51">
        <w:rPr>
          <w:rFonts w:ascii="Verdana" w:hAnsi="Verdana"/>
          <w:i/>
          <w:iCs/>
          <w:color w:val="000000" w:themeColor="text1"/>
          <w:sz w:val="16"/>
          <w:szCs w:val="16"/>
        </w:rPr>
        <w:t>.</w:t>
      </w:r>
    </w:p>
  </w:footnote>
  <w:footnote w:id="14">
    <w:p w14:paraId="1A027255" w14:textId="6BAE2772" w:rsidR="0051174C" w:rsidRPr="004F7701" w:rsidRDefault="00F267D8" w:rsidP="004F7701">
      <w:pPr>
        <w:pStyle w:val="Textonotapie"/>
        <w:tabs>
          <w:tab w:val="left" w:pos="567"/>
        </w:tabs>
        <w:jc w:val="both"/>
        <w:rPr>
          <w:rFonts w:ascii="Verdana" w:hAnsi="Verdana"/>
          <w:i/>
          <w:iCs/>
          <w:color w:val="000000" w:themeColor="text1"/>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i/>
          <w:iCs/>
          <w:sz w:val="16"/>
          <w:szCs w:val="16"/>
        </w:rPr>
        <w:t>Cfr.</w:t>
      </w:r>
      <w:r w:rsidRPr="004F7701">
        <w:rPr>
          <w:rFonts w:ascii="Verdana" w:hAnsi="Verdana"/>
          <w:sz w:val="16"/>
          <w:szCs w:val="16"/>
        </w:rPr>
        <w:t xml:space="preserve"> Informes estatales de 9 de agosto</w:t>
      </w:r>
      <w:r w:rsidR="00263368" w:rsidRPr="004F7701">
        <w:rPr>
          <w:rFonts w:ascii="Verdana" w:hAnsi="Verdana"/>
          <w:sz w:val="16"/>
          <w:szCs w:val="16"/>
        </w:rPr>
        <w:t xml:space="preserve"> y </w:t>
      </w:r>
      <w:r w:rsidRPr="004F7701">
        <w:rPr>
          <w:rFonts w:ascii="Verdana" w:hAnsi="Verdana"/>
          <w:sz w:val="16"/>
          <w:szCs w:val="16"/>
        </w:rPr>
        <w:t>7 de septiembre de 2021</w:t>
      </w:r>
      <w:r w:rsidR="00263368" w:rsidRPr="004F7701">
        <w:rPr>
          <w:rFonts w:ascii="Verdana" w:hAnsi="Verdana"/>
          <w:sz w:val="16"/>
          <w:szCs w:val="16"/>
        </w:rPr>
        <w:t>,</w:t>
      </w:r>
      <w:r w:rsidR="008865F1">
        <w:rPr>
          <w:rFonts w:ascii="Verdana" w:hAnsi="Verdana"/>
          <w:sz w:val="16"/>
          <w:szCs w:val="16"/>
        </w:rPr>
        <w:t xml:space="preserve"> y</w:t>
      </w:r>
      <w:r w:rsidR="00263368" w:rsidRPr="004F7701">
        <w:rPr>
          <w:rFonts w:ascii="Verdana" w:hAnsi="Verdana"/>
          <w:sz w:val="16"/>
          <w:szCs w:val="16"/>
        </w:rPr>
        <w:t xml:space="preserve"> 22</w:t>
      </w:r>
      <w:r w:rsidR="0051174C" w:rsidRPr="004F7701">
        <w:rPr>
          <w:rFonts w:ascii="Verdana" w:hAnsi="Verdana"/>
          <w:sz w:val="16"/>
          <w:szCs w:val="16"/>
        </w:rPr>
        <w:t xml:space="preserve"> y 24</w:t>
      </w:r>
      <w:r w:rsidR="00263368" w:rsidRPr="004F7701">
        <w:rPr>
          <w:rFonts w:ascii="Verdana" w:hAnsi="Verdana"/>
          <w:sz w:val="16"/>
          <w:szCs w:val="16"/>
        </w:rPr>
        <w:t xml:space="preserve"> de febrero de 2022</w:t>
      </w:r>
      <w:r w:rsidRPr="004F7701">
        <w:rPr>
          <w:rFonts w:ascii="Verdana" w:hAnsi="Verdana"/>
          <w:sz w:val="16"/>
          <w:szCs w:val="16"/>
        </w:rPr>
        <w:t xml:space="preserve"> en los casos</w:t>
      </w:r>
      <w:r w:rsidRPr="004F7701">
        <w:rPr>
          <w:rFonts w:ascii="Verdana" w:hAnsi="Verdana"/>
          <w:i/>
          <w:iCs/>
          <w:color w:val="000000" w:themeColor="text1"/>
          <w:sz w:val="16"/>
          <w:szCs w:val="16"/>
        </w:rPr>
        <w:t xml:space="preserve"> Tarazona Arrieta y otros</w:t>
      </w:r>
      <w:r w:rsidRPr="004F7701">
        <w:rPr>
          <w:rFonts w:ascii="Verdana" w:hAnsi="Verdana"/>
          <w:color w:val="000000" w:themeColor="text1"/>
          <w:sz w:val="16"/>
          <w:szCs w:val="16"/>
        </w:rPr>
        <w:t xml:space="preserve">, </w:t>
      </w:r>
      <w:r w:rsidRPr="004F7701">
        <w:rPr>
          <w:rFonts w:ascii="Verdana" w:hAnsi="Verdana"/>
          <w:i/>
          <w:iCs/>
          <w:sz w:val="16"/>
          <w:szCs w:val="16"/>
          <w:lang w:val="es-MX"/>
        </w:rPr>
        <w:t>Zegarra Marín</w:t>
      </w:r>
      <w:r w:rsidR="0051174C" w:rsidRPr="004F7701">
        <w:rPr>
          <w:rFonts w:ascii="Verdana" w:hAnsi="Verdana"/>
          <w:i/>
          <w:iCs/>
          <w:sz w:val="16"/>
          <w:szCs w:val="16"/>
          <w:lang w:val="es-MX"/>
        </w:rPr>
        <w:t>,</w:t>
      </w:r>
      <w:r w:rsidRPr="004F7701">
        <w:rPr>
          <w:rFonts w:ascii="Verdana" w:hAnsi="Verdana"/>
          <w:i/>
          <w:iCs/>
          <w:color w:val="000000" w:themeColor="text1"/>
          <w:sz w:val="16"/>
          <w:szCs w:val="16"/>
        </w:rPr>
        <w:t xml:space="preserve"> </w:t>
      </w:r>
      <w:r w:rsidR="00263368" w:rsidRPr="004F7701">
        <w:rPr>
          <w:rFonts w:ascii="Verdana" w:hAnsi="Verdana"/>
          <w:i/>
          <w:iCs/>
          <w:color w:val="000000" w:themeColor="text1"/>
          <w:sz w:val="16"/>
          <w:szCs w:val="16"/>
        </w:rPr>
        <w:t>Lagos del Campo</w:t>
      </w:r>
      <w:r w:rsidR="0051174C" w:rsidRPr="004F7701">
        <w:rPr>
          <w:rFonts w:ascii="Verdana" w:hAnsi="Verdana"/>
          <w:i/>
          <w:iCs/>
          <w:color w:val="000000" w:themeColor="text1"/>
          <w:sz w:val="16"/>
          <w:szCs w:val="16"/>
        </w:rPr>
        <w:t xml:space="preserve"> </w:t>
      </w:r>
      <w:r w:rsidR="0051174C" w:rsidRPr="004F7701">
        <w:rPr>
          <w:rFonts w:ascii="Verdana" w:hAnsi="Verdana"/>
          <w:color w:val="000000" w:themeColor="text1"/>
          <w:sz w:val="16"/>
          <w:szCs w:val="16"/>
        </w:rPr>
        <w:t xml:space="preserve">y </w:t>
      </w:r>
      <w:r w:rsidR="0051174C" w:rsidRPr="004F7701">
        <w:rPr>
          <w:rFonts w:ascii="Verdana" w:hAnsi="Verdana"/>
          <w:i/>
          <w:iCs/>
          <w:color w:val="000000" w:themeColor="text1"/>
          <w:sz w:val="16"/>
          <w:szCs w:val="16"/>
        </w:rPr>
        <w:t xml:space="preserve">Wong Ho </w:t>
      </w:r>
      <w:proofErr w:type="spellStart"/>
      <w:r w:rsidR="0051174C" w:rsidRPr="004F7701">
        <w:rPr>
          <w:rFonts w:ascii="Verdana" w:hAnsi="Verdana"/>
          <w:i/>
          <w:iCs/>
          <w:color w:val="000000" w:themeColor="text1"/>
          <w:sz w:val="16"/>
          <w:szCs w:val="16"/>
        </w:rPr>
        <w:t>Wing</w:t>
      </w:r>
      <w:proofErr w:type="spellEnd"/>
      <w:r w:rsidR="00AB52D6" w:rsidRPr="004F7701">
        <w:rPr>
          <w:rFonts w:ascii="Verdana" w:hAnsi="Verdana"/>
          <w:i/>
          <w:iCs/>
          <w:color w:val="000000" w:themeColor="text1"/>
          <w:sz w:val="16"/>
          <w:szCs w:val="16"/>
        </w:rPr>
        <w:t>.</w:t>
      </w:r>
    </w:p>
  </w:footnote>
  <w:footnote w:id="15">
    <w:p w14:paraId="71C2276E" w14:textId="57F6BDE3" w:rsidR="00315FA1" w:rsidRPr="004F7701" w:rsidRDefault="00315FA1"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i/>
          <w:iCs/>
          <w:sz w:val="16"/>
          <w:szCs w:val="16"/>
        </w:rPr>
        <w:t>Cfr.</w:t>
      </w:r>
      <w:r w:rsidRPr="004F7701">
        <w:rPr>
          <w:rFonts w:ascii="Verdana" w:hAnsi="Verdana"/>
          <w:sz w:val="16"/>
          <w:szCs w:val="16"/>
        </w:rPr>
        <w:t xml:space="preserve"> Informe estatal de 8 de noviembre de 2021 en el</w:t>
      </w:r>
      <w:r w:rsidRPr="004F7701">
        <w:rPr>
          <w:rFonts w:ascii="Verdana" w:hAnsi="Verdana"/>
          <w:i/>
          <w:iCs/>
          <w:color w:val="000000" w:themeColor="text1"/>
          <w:sz w:val="16"/>
          <w:szCs w:val="16"/>
        </w:rPr>
        <w:t xml:space="preserve"> Caso Canales Huapaya y otro</w:t>
      </w:r>
      <w:r w:rsidR="005E41EF" w:rsidRPr="004F7701">
        <w:rPr>
          <w:rFonts w:ascii="Verdana" w:hAnsi="Verdana"/>
          <w:i/>
          <w:iCs/>
          <w:color w:val="000000" w:themeColor="text1"/>
          <w:sz w:val="16"/>
          <w:szCs w:val="16"/>
        </w:rPr>
        <w:t>s</w:t>
      </w:r>
      <w:r w:rsidRPr="004F7701">
        <w:rPr>
          <w:rFonts w:ascii="Verdana" w:hAnsi="Verdana"/>
          <w:sz w:val="16"/>
          <w:szCs w:val="16"/>
        </w:rPr>
        <w:t xml:space="preserve">. </w:t>
      </w:r>
    </w:p>
  </w:footnote>
  <w:footnote w:id="16">
    <w:p w14:paraId="3868B16E" w14:textId="03D3AB81" w:rsidR="008865F1" w:rsidRPr="004F7701" w:rsidRDefault="00545056" w:rsidP="008865F1">
      <w:pPr>
        <w:pStyle w:val="Textonotapie"/>
        <w:tabs>
          <w:tab w:val="left" w:pos="567"/>
        </w:tabs>
        <w:jc w:val="both"/>
        <w:rPr>
          <w:rFonts w:ascii="Verdana" w:hAnsi="Verdana"/>
          <w:i/>
          <w:iCs/>
          <w:color w:val="000000" w:themeColor="text1"/>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i/>
          <w:iCs/>
          <w:sz w:val="16"/>
          <w:szCs w:val="16"/>
        </w:rPr>
        <w:t>Cfr.</w:t>
      </w:r>
      <w:r w:rsidRPr="004F7701">
        <w:rPr>
          <w:rFonts w:ascii="Verdana" w:hAnsi="Verdana"/>
          <w:sz w:val="16"/>
          <w:szCs w:val="16"/>
        </w:rPr>
        <w:t xml:space="preserve"> Informes estatales de 27 de junio </w:t>
      </w:r>
      <w:r w:rsidR="008865F1">
        <w:rPr>
          <w:rFonts w:ascii="Verdana" w:hAnsi="Verdana"/>
          <w:sz w:val="16"/>
          <w:szCs w:val="16"/>
        </w:rPr>
        <w:t xml:space="preserve">y </w:t>
      </w:r>
      <w:r w:rsidR="008865F1" w:rsidRPr="004F7701">
        <w:rPr>
          <w:rFonts w:ascii="Verdana" w:hAnsi="Verdana"/>
          <w:sz w:val="16"/>
          <w:szCs w:val="16"/>
        </w:rPr>
        <w:t>23 de diciembre de 2020</w:t>
      </w:r>
      <w:r w:rsidR="008865F1">
        <w:rPr>
          <w:rFonts w:ascii="Verdana" w:hAnsi="Verdana"/>
          <w:sz w:val="16"/>
          <w:szCs w:val="16"/>
        </w:rPr>
        <w:t xml:space="preserve">, </w:t>
      </w:r>
      <w:r w:rsidRPr="004F7701">
        <w:rPr>
          <w:rFonts w:ascii="Verdana" w:hAnsi="Verdana"/>
          <w:sz w:val="16"/>
          <w:szCs w:val="16"/>
        </w:rPr>
        <w:t>8 de noviembre de 2021</w:t>
      </w:r>
      <w:r w:rsidR="008865F1">
        <w:rPr>
          <w:rFonts w:ascii="Verdana" w:hAnsi="Verdana"/>
          <w:sz w:val="16"/>
          <w:szCs w:val="16"/>
        </w:rPr>
        <w:t>,</w:t>
      </w:r>
      <w:r w:rsidRPr="004F7701">
        <w:rPr>
          <w:rFonts w:ascii="Verdana" w:hAnsi="Verdana"/>
          <w:color w:val="000000" w:themeColor="text1"/>
          <w:sz w:val="16"/>
          <w:szCs w:val="16"/>
        </w:rPr>
        <w:t xml:space="preserve"> 22</w:t>
      </w:r>
      <w:r w:rsidR="008865F1">
        <w:rPr>
          <w:rFonts w:ascii="Verdana" w:hAnsi="Verdana"/>
          <w:color w:val="000000" w:themeColor="text1"/>
          <w:sz w:val="16"/>
          <w:szCs w:val="16"/>
        </w:rPr>
        <w:t xml:space="preserve"> y 24</w:t>
      </w:r>
      <w:r w:rsidRPr="004F7701">
        <w:rPr>
          <w:rFonts w:ascii="Verdana" w:hAnsi="Verdana"/>
          <w:color w:val="000000" w:themeColor="text1"/>
          <w:sz w:val="16"/>
          <w:szCs w:val="16"/>
        </w:rPr>
        <w:t xml:space="preserve"> de febrero de 2022</w:t>
      </w:r>
      <w:r w:rsidR="008865F1">
        <w:rPr>
          <w:rFonts w:ascii="Verdana" w:hAnsi="Verdana"/>
          <w:i/>
          <w:iCs/>
          <w:sz w:val="16"/>
          <w:szCs w:val="16"/>
        </w:rPr>
        <w:t xml:space="preserve"> </w:t>
      </w:r>
      <w:r w:rsidR="008865F1" w:rsidRPr="004F7701">
        <w:rPr>
          <w:rFonts w:ascii="Verdana" w:hAnsi="Verdana"/>
          <w:sz w:val="16"/>
          <w:szCs w:val="16"/>
        </w:rPr>
        <w:t>en</w:t>
      </w:r>
      <w:r w:rsidR="008865F1">
        <w:rPr>
          <w:rFonts w:ascii="Verdana" w:hAnsi="Verdana"/>
          <w:sz w:val="16"/>
          <w:szCs w:val="16"/>
        </w:rPr>
        <w:t xml:space="preserve"> los casos </w:t>
      </w:r>
      <w:r w:rsidR="008865F1" w:rsidRPr="004F7701">
        <w:rPr>
          <w:rFonts w:ascii="Verdana" w:hAnsi="Verdana"/>
          <w:i/>
          <w:iCs/>
          <w:color w:val="000000" w:themeColor="text1"/>
          <w:sz w:val="16"/>
          <w:szCs w:val="16"/>
        </w:rPr>
        <w:t>Lagos del Campo</w:t>
      </w:r>
      <w:r w:rsidR="008865F1">
        <w:rPr>
          <w:rFonts w:ascii="Verdana" w:hAnsi="Verdana"/>
          <w:i/>
          <w:iCs/>
          <w:sz w:val="16"/>
          <w:szCs w:val="16"/>
        </w:rPr>
        <w:t xml:space="preserve">, </w:t>
      </w:r>
      <w:r w:rsidR="008865F1" w:rsidRPr="004F7701">
        <w:rPr>
          <w:rFonts w:ascii="Verdana" w:hAnsi="Verdana"/>
          <w:i/>
          <w:iCs/>
          <w:color w:val="000000" w:themeColor="text1"/>
          <w:sz w:val="16"/>
          <w:szCs w:val="16"/>
        </w:rPr>
        <w:t>Zegarra Marín</w:t>
      </w:r>
      <w:r w:rsidR="008865F1">
        <w:rPr>
          <w:rFonts w:ascii="Verdana" w:hAnsi="Verdana"/>
          <w:i/>
          <w:iCs/>
          <w:sz w:val="16"/>
          <w:szCs w:val="16"/>
        </w:rPr>
        <w:t xml:space="preserve">, </w:t>
      </w:r>
      <w:r w:rsidR="008865F1" w:rsidRPr="004F7701">
        <w:rPr>
          <w:rFonts w:ascii="Verdana" w:hAnsi="Verdana"/>
          <w:i/>
          <w:iCs/>
          <w:color w:val="000000" w:themeColor="text1"/>
          <w:sz w:val="16"/>
          <w:szCs w:val="16"/>
        </w:rPr>
        <w:t>Canales Huapaya y otros</w:t>
      </w:r>
      <w:r w:rsidR="008865F1">
        <w:rPr>
          <w:rFonts w:ascii="Verdana" w:hAnsi="Verdana"/>
          <w:i/>
          <w:iCs/>
          <w:sz w:val="16"/>
          <w:szCs w:val="16"/>
        </w:rPr>
        <w:t xml:space="preserve">, </w:t>
      </w:r>
      <w:r w:rsidR="008865F1" w:rsidRPr="004F7701">
        <w:rPr>
          <w:rFonts w:ascii="Verdana" w:hAnsi="Verdana"/>
          <w:i/>
          <w:iCs/>
          <w:color w:val="000000" w:themeColor="text1"/>
          <w:sz w:val="16"/>
          <w:szCs w:val="16"/>
        </w:rPr>
        <w:t>Lagos del Campo</w:t>
      </w:r>
      <w:r w:rsidR="008865F1">
        <w:rPr>
          <w:rFonts w:ascii="Verdana" w:hAnsi="Verdana"/>
          <w:color w:val="000000" w:themeColor="text1"/>
          <w:sz w:val="16"/>
          <w:szCs w:val="16"/>
        </w:rPr>
        <w:t xml:space="preserve"> y</w:t>
      </w:r>
      <w:r w:rsidR="008865F1" w:rsidRPr="004F7701">
        <w:rPr>
          <w:rFonts w:ascii="Verdana" w:hAnsi="Verdana"/>
          <w:color w:val="000000" w:themeColor="text1"/>
          <w:sz w:val="16"/>
          <w:szCs w:val="16"/>
        </w:rPr>
        <w:t xml:space="preserve"> </w:t>
      </w:r>
      <w:r w:rsidR="008865F1" w:rsidRPr="004F7701">
        <w:rPr>
          <w:rFonts w:ascii="Verdana" w:hAnsi="Verdana"/>
          <w:i/>
          <w:iCs/>
          <w:sz w:val="16"/>
          <w:szCs w:val="16"/>
        </w:rPr>
        <w:t xml:space="preserve">Wong Ho </w:t>
      </w:r>
      <w:proofErr w:type="spellStart"/>
      <w:r w:rsidR="008865F1" w:rsidRPr="004F7701">
        <w:rPr>
          <w:rFonts w:ascii="Verdana" w:hAnsi="Verdana"/>
          <w:i/>
          <w:iCs/>
          <w:sz w:val="16"/>
          <w:szCs w:val="16"/>
        </w:rPr>
        <w:t>Wing</w:t>
      </w:r>
      <w:proofErr w:type="spellEnd"/>
      <w:r w:rsidR="008865F1">
        <w:rPr>
          <w:rFonts w:ascii="Verdana" w:hAnsi="Verdana"/>
          <w:i/>
          <w:iCs/>
          <w:sz w:val="16"/>
          <w:szCs w:val="16"/>
        </w:rPr>
        <w:t>.</w:t>
      </w:r>
    </w:p>
  </w:footnote>
  <w:footnote w:id="17">
    <w:p w14:paraId="1BAABA9F" w14:textId="6E15D60E" w:rsidR="00DF3842" w:rsidRPr="004F7701" w:rsidRDefault="00DF3842" w:rsidP="004F7701">
      <w:pPr>
        <w:pStyle w:val="Prrafodelista"/>
        <w:tabs>
          <w:tab w:val="left" w:pos="567"/>
        </w:tabs>
        <w:ind w:left="0"/>
        <w:jc w:val="both"/>
        <w:rPr>
          <w:rFonts w:ascii="Verdana" w:hAnsi="Verdana"/>
          <w:color w:val="000000" w:themeColor="text1"/>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color w:val="000000" w:themeColor="text1"/>
          <w:sz w:val="16"/>
          <w:szCs w:val="16"/>
        </w:rPr>
        <w:t xml:space="preserve">La vigente Ley </w:t>
      </w:r>
      <w:proofErr w:type="spellStart"/>
      <w:r w:rsidRPr="004F7701">
        <w:rPr>
          <w:rFonts w:ascii="Verdana" w:hAnsi="Verdana"/>
          <w:color w:val="000000" w:themeColor="text1"/>
          <w:sz w:val="16"/>
          <w:szCs w:val="16"/>
        </w:rPr>
        <w:t>N°</w:t>
      </w:r>
      <w:proofErr w:type="spellEnd"/>
      <w:r w:rsidRPr="004F7701">
        <w:rPr>
          <w:rFonts w:ascii="Verdana" w:hAnsi="Verdana"/>
          <w:color w:val="000000" w:themeColor="text1"/>
          <w:sz w:val="16"/>
          <w:szCs w:val="16"/>
        </w:rPr>
        <w:t xml:space="preserve"> 30137</w:t>
      </w:r>
      <w:r w:rsidR="0068362A" w:rsidRPr="004F7701">
        <w:rPr>
          <w:rFonts w:ascii="Verdana" w:hAnsi="Verdana"/>
          <w:color w:val="000000" w:themeColor="text1"/>
          <w:sz w:val="16"/>
          <w:szCs w:val="16"/>
        </w:rPr>
        <w:t>:</w:t>
      </w:r>
      <w:r w:rsidRPr="004F7701">
        <w:rPr>
          <w:rFonts w:ascii="Verdana" w:hAnsi="Verdana"/>
          <w:color w:val="000000" w:themeColor="text1"/>
          <w:sz w:val="16"/>
          <w:szCs w:val="16"/>
        </w:rPr>
        <w:t xml:space="preserve"> “Ley que establece criterios de priorización para la atención del pago de sentencias judiciales” de 26 de diciembre de 2013, en lo pertinente establece: “Artículo 2. Criterios de priorización social y sectorial. 2.1 Los pliegos cumplen con efectuar el pago por sentencias judiciales en calidad de cosa juzgada en función a los criterios siguientes: 1. Materia laboral. 2. Materia previsional. 3. </w:t>
      </w:r>
      <w:r w:rsidRPr="004F7701">
        <w:rPr>
          <w:rFonts w:ascii="Verdana" w:hAnsi="Verdana"/>
          <w:color w:val="000000" w:themeColor="text1"/>
          <w:sz w:val="16"/>
          <w:szCs w:val="16"/>
          <w:u w:val="single"/>
        </w:rPr>
        <w:t>Víctimas en actos de defensa del Estado y víctimas por violaciones de derechos humanos.</w:t>
      </w:r>
      <w:r w:rsidRPr="004F7701">
        <w:rPr>
          <w:rFonts w:ascii="Verdana" w:hAnsi="Verdana"/>
          <w:color w:val="000000" w:themeColor="text1"/>
          <w:sz w:val="16"/>
          <w:szCs w:val="16"/>
        </w:rPr>
        <w:t xml:space="preserve"> 4. Otras deudas de carácter social. 5. Deudas no comprendidas en los numerales precedentes</w:t>
      </w:r>
      <w:r w:rsidR="0068362A" w:rsidRPr="004F7701">
        <w:rPr>
          <w:rFonts w:ascii="Verdana" w:hAnsi="Verdana"/>
          <w:color w:val="000000" w:themeColor="text1"/>
          <w:sz w:val="16"/>
          <w:szCs w:val="16"/>
        </w:rPr>
        <w:t>”</w:t>
      </w:r>
      <w:r w:rsidRPr="004F7701">
        <w:rPr>
          <w:rFonts w:ascii="Verdana" w:hAnsi="Verdana"/>
          <w:color w:val="000000" w:themeColor="text1"/>
          <w:sz w:val="16"/>
          <w:szCs w:val="16"/>
        </w:rPr>
        <w:t xml:space="preserve"> </w:t>
      </w:r>
      <w:r w:rsidR="0068362A" w:rsidRPr="004F7701">
        <w:rPr>
          <w:rFonts w:ascii="Verdana" w:hAnsi="Verdana"/>
          <w:color w:val="000000" w:themeColor="text1"/>
          <w:sz w:val="16"/>
          <w:szCs w:val="16"/>
        </w:rPr>
        <w:t>(</w:t>
      </w:r>
      <w:r w:rsidR="00246F0E" w:rsidRPr="004F7701">
        <w:rPr>
          <w:rFonts w:ascii="Verdana" w:hAnsi="Verdana"/>
          <w:color w:val="000000" w:themeColor="text1"/>
          <w:sz w:val="16"/>
          <w:szCs w:val="16"/>
        </w:rPr>
        <w:t>é</w:t>
      </w:r>
      <w:r w:rsidR="003A475A" w:rsidRPr="004F7701">
        <w:rPr>
          <w:rFonts w:ascii="Verdana" w:hAnsi="Verdana"/>
          <w:color w:val="000000" w:themeColor="text1"/>
          <w:sz w:val="16"/>
          <w:szCs w:val="16"/>
        </w:rPr>
        <w:t>nfasis añadido</w:t>
      </w:r>
      <w:r w:rsidR="0068362A" w:rsidRPr="004F7701">
        <w:rPr>
          <w:rFonts w:ascii="Verdana" w:hAnsi="Verdana"/>
          <w:color w:val="000000" w:themeColor="text1"/>
          <w:sz w:val="16"/>
          <w:szCs w:val="16"/>
        </w:rPr>
        <w:t>).</w:t>
      </w:r>
      <w:r w:rsidRPr="004F7701">
        <w:rPr>
          <w:rFonts w:ascii="Verdana" w:hAnsi="Verdana"/>
          <w:color w:val="000000" w:themeColor="text1"/>
          <w:sz w:val="16"/>
          <w:szCs w:val="16"/>
        </w:rPr>
        <w:t xml:space="preserve"> </w:t>
      </w:r>
      <w:r w:rsidRPr="004F7701">
        <w:rPr>
          <w:rFonts w:ascii="Verdana" w:hAnsi="Verdana"/>
          <w:sz w:val="16"/>
          <w:szCs w:val="16"/>
          <w:lang w:val="es-MX"/>
        </w:rPr>
        <w:t xml:space="preserve">Disponible en: </w:t>
      </w:r>
      <w:hyperlink r:id="rId8" w:history="1">
        <w:r w:rsidRPr="004F7701">
          <w:rPr>
            <w:rStyle w:val="Hipervnculo"/>
            <w:rFonts w:ascii="Verdana" w:hAnsi="Verdana"/>
            <w:sz w:val="16"/>
            <w:szCs w:val="16"/>
            <w:lang w:val="es-MX"/>
          </w:rPr>
          <w:t>https://www.minjus.gob.pe/wp-content/uploads/2014/08/Ley-N%C2%B0-30137.pdf</w:t>
        </w:r>
      </w:hyperlink>
    </w:p>
  </w:footnote>
  <w:footnote w:id="18">
    <w:p w14:paraId="5B102B7E" w14:textId="080D68DD" w:rsidR="00545056" w:rsidRPr="004F7701" w:rsidRDefault="00545056"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bookmarkStart w:id="8" w:name="_Hlk96524138"/>
      <w:r w:rsidRPr="004F7701">
        <w:rPr>
          <w:rFonts w:ascii="Verdana" w:hAnsi="Verdana"/>
          <w:color w:val="000000" w:themeColor="text1"/>
          <w:sz w:val="16"/>
          <w:szCs w:val="16"/>
        </w:rPr>
        <w:t xml:space="preserve">El Reglamento de la referida Ley </w:t>
      </w:r>
      <w:proofErr w:type="spellStart"/>
      <w:r w:rsidRPr="004F7701">
        <w:rPr>
          <w:rFonts w:ascii="Verdana" w:hAnsi="Verdana"/>
          <w:color w:val="000000" w:themeColor="text1"/>
          <w:sz w:val="16"/>
          <w:szCs w:val="16"/>
        </w:rPr>
        <w:t>N°</w:t>
      </w:r>
      <w:proofErr w:type="spellEnd"/>
      <w:r w:rsidRPr="004F7701">
        <w:rPr>
          <w:rFonts w:ascii="Verdana" w:hAnsi="Verdana"/>
          <w:color w:val="000000" w:themeColor="text1"/>
          <w:sz w:val="16"/>
          <w:szCs w:val="16"/>
        </w:rPr>
        <w:t xml:space="preserve"> 30137, publicado en el Diario Oficial “El Peruano” el 1 de abril de 2020 (Decreto Supremo </w:t>
      </w:r>
      <w:proofErr w:type="spellStart"/>
      <w:r w:rsidRPr="004F7701">
        <w:rPr>
          <w:rFonts w:ascii="Verdana" w:hAnsi="Verdana"/>
          <w:color w:val="000000" w:themeColor="text1"/>
          <w:sz w:val="16"/>
          <w:szCs w:val="16"/>
        </w:rPr>
        <w:t>N°</w:t>
      </w:r>
      <w:proofErr w:type="spellEnd"/>
      <w:r w:rsidRPr="004F7701">
        <w:rPr>
          <w:rFonts w:ascii="Verdana" w:hAnsi="Verdana"/>
          <w:color w:val="000000" w:themeColor="text1"/>
          <w:sz w:val="16"/>
          <w:szCs w:val="16"/>
        </w:rPr>
        <w:t xml:space="preserve"> 003-2020-JUS)</w:t>
      </w:r>
      <w:bookmarkEnd w:id="8"/>
      <w:r w:rsidRPr="004F7701">
        <w:rPr>
          <w:rFonts w:ascii="Verdana" w:hAnsi="Verdana"/>
          <w:color w:val="000000" w:themeColor="text1"/>
          <w:sz w:val="16"/>
          <w:szCs w:val="16"/>
        </w:rPr>
        <w:t xml:space="preserve">, en lo pertinente indica: “Artículo 4. Grupos de priorización. 4.1 De conformidad con lo establecido en el numeral 2.1 del artículo 2 de la Ley </w:t>
      </w:r>
      <w:proofErr w:type="spellStart"/>
      <w:r w:rsidRPr="004F7701">
        <w:rPr>
          <w:rFonts w:ascii="Verdana" w:hAnsi="Verdana"/>
          <w:color w:val="000000" w:themeColor="text1"/>
          <w:sz w:val="16"/>
          <w:szCs w:val="16"/>
        </w:rPr>
        <w:t>N°</w:t>
      </w:r>
      <w:proofErr w:type="spellEnd"/>
      <w:r w:rsidRPr="004F7701">
        <w:rPr>
          <w:rFonts w:ascii="Verdana" w:hAnsi="Verdana"/>
          <w:color w:val="000000" w:themeColor="text1"/>
          <w:sz w:val="16"/>
          <w:szCs w:val="16"/>
        </w:rPr>
        <w:t xml:space="preserve"> 30137, las obligaciones se organizan en cinco (5) grupos de priorización: 1. Grupo 1: Acreedores en materia laboral. 2. Grupo 2: Acreedores en materia previsional. </w:t>
      </w:r>
      <w:r w:rsidRPr="004F7701">
        <w:rPr>
          <w:rFonts w:ascii="Verdana" w:hAnsi="Verdana"/>
          <w:color w:val="000000" w:themeColor="text1"/>
          <w:sz w:val="16"/>
          <w:szCs w:val="16"/>
          <w:u w:val="single"/>
        </w:rPr>
        <w:t>3. Grupo 3: Acreedores víctimas en actos de defensa del Estado y víctimas por violaciones de derechos humanos.</w:t>
      </w:r>
      <w:r w:rsidRPr="004F7701">
        <w:rPr>
          <w:rFonts w:ascii="Verdana" w:hAnsi="Verdana"/>
          <w:color w:val="000000" w:themeColor="text1"/>
          <w:sz w:val="16"/>
          <w:szCs w:val="16"/>
        </w:rPr>
        <w:t xml:space="preserve"> 4. Grupo 4: Acreedores de otras deudas de carácter social. 5. Grupo 5: Acreedores de deudas no comprendidas en los grupos previos. 4.2 En el caso de concurrencia de dos o más grupos de priorización en una sola demanda, prevalece el que más favorezca al acreedor de la sentencia judicial </w:t>
      </w:r>
      <w:r w:rsidRPr="004F7701">
        <w:rPr>
          <w:rStyle w:val="no-style-override"/>
          <w:rFonts w:ascii="Verdana" w:hAnsi="Verdana" w:cs="Arial"/>
          <w:color w:val="000000"/>
          <w:sz w:val="16"/>
          <w:szCs w:val="16"/>
        </w:rPr>
        <w:t>[…]</w:t>
      </w:r>
      <w:r w:rsidR="00246F0E" w:rsidRPr="004F7701">
        <w:rPr>
          <w:rStyle w:val="no-style-override"/>
          <w:rFonts w:ascii="Verdana" w:hAnsi="Verdana" w:cs="Arial"/>
          <w:color w:val="000000"/>
          <w:sz w:val="16"/>
          <w:szCs w:val="16"/>
        </w:rPr>
        <w:t>”</w:t>
      </w:r>
      <w:r w:rsidRPr="004F7701">
        <w:rPr>
          <w:rFonts w:ascii="Verdana" w:hAnsi="Verdana"/>
          <w:color w:val="000000" w:themeColor="text1"/>
          <w:sz w:val="16"/>
          <w:szCs w:val="16"/>
        </w:rPr>
        <w:t xml:space="preserve"> </w:t>
      </w:r>
      <w:r w:rsidR="00246F0E" w:rsidRPr="004F7701">
        <w:rPr>
          <w:rFonts w:ascii="Verdana" w:hAnsi="Verdana"/>
          <w:color w:val="000000" w:themeColor="text1"/>
          <w:sz w:val="16"/>
          <w:szCs w:val="16"/>
        </w:rPr>
        <w:t>(é</w:t>
      </w:r>
      <w:r w:rsidR="003A475A" w:rsidRPr="004F7701">
        <w:rPr>
          <w:rFonts w:ascii="Verdana" w:hAnsi="Verdana"/>
          <w:color w:val="000000" w:themeColor="text1"/>
          <w:sz w:val="16"/>
          <w:szCs w:val="16"/>
        </w:rPr>
        <w:t>nfasis añadido</w:t>
      </w:r>
      <w:r w:rsidR="00246F0E" w:rsidRPr="004F7701">
        <w:rPr>
          <w:rFonts w:ascii="Verdana" w:hAnsi="Verdana"/>
          <w:color w:val="000000" w:themeColor="text1"/>
          <w:sz w:val="16"/>
          <w:szCs w:val="16"/>
        </w:rPr>
        <w:t>).</w:t>
      </w:r>
      <w:r w:rsidRPr="004F7701">
        <w:rPr>
          <w:rFonts w:ascii="Verdana" w:hAnsi="Verdana"/>
          <w:color w:val="000000" w:themeColor="text1"/>
          <w:sz w:val="16"/>
          <w:szCs w:val="16"/>
        </w:rPr>
        <w:t xml:space="preserve"> </w:t>
      </w:r>
      <w:r w:rsidRPr="004F7701">
        <w:rPr>
          <w:rFonts w:ascii="Verdana" w:hAnsi="Verdana"/>
          <w:sz w:val="16"/>
          <w:szCs w:val="16"/>
        </w:rPr>
        <w:t xml:space="preserve">Disponible en: </w:t>
      </w:r>
      <w:hyperlink r:id="rId9" w:history="1">
        <w:r w:rsidRPr="004F7701">
          <w:rPr>
            <w:rStyle w:val="Hipervnculo"/>
            <w:rFonts w:ascii="Verdana" w:hAnsi="Verdana"/>
            <w:sz w:val="16"/>
            <w:szCs w:val="16"/>
          </w:rPr>
          <w:t>https://busquedas.elperuano.pe/download/url/decreto-supremo-que-aprueba-el-reglamento-de-la-ley-n-30137-decreto-supremo-no-003-2020-jus-1865283-1</w:t>
        </w:r>
      </w:hyperlink>
    </w:p>
  </w:footnote>
  <w:footnote w:id="19">
    <w:p w14:paraId="3FE1AE18" w14:textId="303709E4" w:rsidR="00DE7B44" w:rsidRPr="004F7701" w:rsidRDefault="00DE7B44"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t xml:space="preserve">El Estado </w:t>
      </w:r>
      <w:r w:rsidR="00C404DB" w:rsidRPr="004F7701">
        <w:rPr>
          <w:rFonts w:ascii="Verdana" w:hAnsi="Verdana"/>
          <w:sz w:val="16"/>
          <w:szCs w:val="16"/>
        </w:rPr>
        <w:t xml:space="preserve">informó que, </w:t>
      </w:r>
      <w:r w:rsidRPr="004F7701">
        <w:rPr>
          <w:rFonts w:ascii="Verdana" w:hAnsi="Verdana"/>
          <w:sz w:val="16"/>
          <w:szCs w:val="16"/>
        </w:rPr>
        <w:t>a partir del 24 de noviembre de 2019, “entró en vigor el Decreto Legislativo N°1326 que reestructura el Sistema Administrativo de Defensa Jurídica del Estado y crea la Procuraduría General del Estado, y su Reglamento”</w:t>
      </w:r>
      <w:r w:rsidR="001A7BF2" w:rsidRPr="004F7701">
        <w:rPr>
          <w:rFonts w:ascii="Verdana" w:hAnsi="Verdana"/>
          <w:sz w:val="16"/>
          <w:szCs w:val="16"/>
        </w:rPr>
        <w:t>.</w:t>
      </w:r>
      <w:r w:rsidRPr="004F7701">
        <w:rPr>
          <w:rFonts w:ascii="Verdana" w:hAnsi="Verdana"/>
          <w:sz w:val="16"/>
          <w:szCs w:val="16"/>
        </w:rPr>
        <w:t xml:space="preserve"> En consecuencia, “el Consejo de Defensa Jurídica del Estado ha sido reemplazado por la Procuraduría General del Estado”.</w:t>
      </w:r>
      <w:r w:rsidRPr="004F7701">
        <w:rPr>
          <w:rFonts w:ascii="Verdana" w:hAnsi="Verdana"/>
          <w:i/>
          <w:iCs/>
          <w:sz w:val="16"/>
          <w:szCs w:val="16"/>
        </w:rPr>
        <w:t xml:space="preserve"> Cfr. </w:t>
      </w:r>
      <w:r w:rsidRPr="004F7701">
        <w:rPr>
          <w:rFonts w:ascii="Verdana" w:hAnsi="Verdana"/>
          <w:color w:val="000000" w:themeColor="text1"/>
          <w:sz w:val="16"/>
          <w:szCs w:val="16"/>
        </w:rPr>
        <w:t>I</w:t>
      </w:r>
      <w:r w:rsidRPr="004F7701">
        <w:rPr>
          <w:rFonts w:ascii="Verdana" w:hAnsi="Verdana"/>
          <w:sz w:val="16"/>
          <w:szCs w:val="16"/>
        </w:rPr>
        <w:t>nformes estatales de 20 de diciembre de 2019</w:t>
      </w:r>
      <w:r w:rsidR="00DD1D76">
        <w:rPr>
          <w:rFonts w:ascii="Verdana" w:hAnsi="Verdana"/>
          <w:sz w:val="16"/>
          <w:szCs w:val="16"/>
        </w:rPr>
        <w:t>,</w:t>
      </w:r>
      <w:r w:rsidRPr="004F7701">
        <w:rPr>
          <w:rFonts w:ascii="Verdana" w:hAnsi="Verdana"/>
          <w:sz w:val="16"/>
          <w:szCs w:val="16"/>
        </w:rPr>
        <w:t xml:space="preserve"> </w:t>
      </w:r>
      <w:r w:rsidR="00DD1D76" w:rsidRPr="004F7701">
        <w:rPr>
          <w:rFonts w:ascii="Verdana" w:hAnsi="Verdana"/>
          <w:sz w:val="16"/>
          <w:szCs w:val="16"/>
        </w:rPr>
        <w:t>19 de agosto</w:t>
      </w:r>
      <w:r w:rsidR="00DD1D76">
        <w:rPr>
          <w:rFonts w:ascii="Verdana" w:hAnsi="Verdana"/>
          <w:sz w:val="16"/>
          <w:szCs w:val="16"/>
        </w:rPr>
        <w:t xml:space="preserve">, </w:t>
      </w:r>
      <w:r w:rsidR="00DD1D76" w:rsidRPr="004F7701">
        <w:rPr>
          <w:rFonts w:ascii="Verdana" w:hAnsi="Verdana"/>
          <w:sz w:val="16"/>
          <w:szCs w:val="16"/>
        </w:rPr>
        <w:t xml:space="preserve">13 de noviembre </w:t>
      </w:r>
      <w:r w:rsidR="00DD1D76" w:rsidRPr="004F7701">
        <w:rPr>
          <w:rFonts w:ascii="Verdana" w:hAnsi="Verdana"/>
          <w:color w:val="000000" w:themeColor="text1"/>
          <w:sz w:val="16"/>
          <w:szCs w:val="16"/>
        </w:rPr>
        <w:t xml:space="preserve">y </w:t>
      </w:r>
      <w:r w:rsidR="00DD1D76" w:rsidRPr="004F7701">
        <w:rPr>
          <w:rFonts w:ascii="Verdana" w:hAnsi="Verdana"/>
          <w:sz w:val="16"/>
          <w:szCs w:val="16"/>
        </w:rPr>
        <w:t>23 de diciembre de 2020</w:t>
      </w:r>
      <w:r w:rsidR="00DD1D76">
        <w:rPr>
          <w:rFonts w:ascii="Verdana" w:hAnsi="Verdana"/>
          <w:sz w:val="16"/>
          <w:szCs w:val="16"/>
        </w:rPr>
        <w:t xml:space="preserve"> </w:t>
      </w:r>
      <w:r w:rsidRPr="004F7701">
        <w:rPr>
          <w:rFonts w:ascii="Verdana" w:hAnsi="Verdana"/>
          <w:sz w:val="16"/>
          <w:szCs w:val="16"/>
        </w:rPr>
        <w:t>en</w:t>
      </w:r>
      <w:r w:rsidR="00DD1D76">
        <w:rPr>
          <w:rFonts w:ascii="Verdana" w:hAnsi="Verdana"/>
          <w:sz w:val="16"/>
          <w:szCs w:val="16"/>
        </w:rPr>
        <w:t xml:space="preserve"> los casos</w:t>
      </w:r>
      <w:r w:rsidRPr="004F7701">
        <w:rPr>
          <w:rFonts w:ascii="Verdana" w:hAnsi="Verdana"/>
          <w:i/>
          <w:iCs/>
          <w:color w:val="000000" w:themeColor="text1"/>
          <w:sz w:val="16"/>
          <w:szCs w:val="16"/>
        </w:rPr>
        <w:t xml:space="preserve"> Tarazona Arrieta y otros</w:t>
      </w:r>
      <w:r w:rsidRPr="004F7701">
        <w:rPr>
          <w:rFonts w:ascii="Verdana" w:hAnsi="Verdana"/>
          <w:color w:val="000000" w:themeColor="text1"/>
          <w:sz w:val="16"/>
          <w:szCs w:val="16"/>
        </w:rPr>
        <w:t>,</w:t>
      </w:r>
      <w:r w:rsidRPr="004F7701">
        <w:rPr>
          <w:rFonts w:ascii="Verdana" w:hAnsi="Verdana"/>
          <w:sz w:val="16"/>
          <w:szCs w:val="16"/>
          <w:lang w:val="es-MX"/>
        </w:rPr>
        <w:t xml:space="preserve"> </w:t>
      </w:r>
      <w:r w:rsidRPr="004F7701">
        <w:rPr>
          <w:rFonts w:ascii="Verdana" w:hAnsi="Verdana"/>
          <w:i/>
          <w:iCs/>
          <w:color w:val="000000" w:themeColor="text1"/>
          <w:sz w:val="16"/>
          <w:szCs w:val="16"/>
        </w:rPr>
        <w:t>Canales Huapaya y otro</w:t>
      </w:r>
      <w:r w:rsidR="00F155EA" w:rsidRPr="004F7701">
        <w:rPr>
          <w:rFonts w:ascii="Verdana" w:hAnsi="Verdana"/>
          <w:i/>
          <w:iCs/>
          <w:color w:val="000000" w:themeColor="text1"/>
          <w:sz w:val="16"/>
          <w:szCs w:val="16"/>
        </w:rPr>
        <w:t>s</w:t>
      </w:r>
      <w:r w:rsidRPr="004F7701">
        <w:rPr>
          <w:rFonts w:ascii="Verdana" w:hAnsi="Verdana"/>
          <w:color w:val="000000" w:themeColor="text1"/>
          <w:sz w:val="16"/>
          <w:szCs w:val="16"/>
        </w:rPr>
        <w:t xml:space="preserve">, </w:t>
      </w:r>
      <w:r w:rsidRPr="004F7701">
        <w:rPr>
          <w:rFonts w:ascii="Verdana" w:hAnsi="Verdana"/>
          <w:i/>
          <w:iCs/>
          <w:color w:val="000000" w:themeColor="text1"/>
          <w:sz w:val="16"/>
          <w:szCs w:val="16"/>
        </w:rPr>
        <w:t xml:space="preserve">Wong Ho </w:t>
      </w:r>
      <w:proofErr w:type="spellStart"/>
      <w:r w:rsidRPr="004F7701">
        <w:rPr>
          <w:rFonts w:ascii="Verdana" w:hAnsi="Verdana"/>
          <w:i/>
          <w:iCs/>
          <w:color w:val="000000" w:themeColor="text1"/>
          <w:sz w:val="16"/>
          <w:szCs w:val="16"/>
        </w:rPr>
        <w:t>Wing</w:t>
      </w:r>
      <w:proofErr w:type="spellEnd"/>
      <w:r w:rsidRPr="004F7701">
        <w:rPr>
          <w:rFonts w:ascii="Verdana" w:hAnsi="Verdana"/>
          <w:color w:val="000000" w:themeColor="text1"/>
          <w:sz w:val="16"/>
          <w:szCs w:val="16"/>
        </w:rPr>
        <w:t xml:space="preserve"> </w:t>
      </w:r>
      <w:r w:rsidR="00DD1D76">
        <w:rPr>
          <w:rFonts w:ascii="Verdana" w:hAnsi="Verdana"/>
          <w:color w:val="000000" w:themeColor="text1"/>
          <w:sz w:val="16"/>
          <w:szCs w:val="16"/>
        </w:rPr>
        <w:t xml:space="preserve">y </w:t>
      </w:r>
      <w:r w:rsidRPr="004F7701">
        <w:rPr>
          <w:rFonts w:ascii="Verdana" w:hAnsi="Verdana"/>
          <w:i/>
          <w:iCs/>
          <w:color w:val="000000" w:themeColor="text1"/>
          <w:sz w:val="16"/>
          <w:szCs w:val="16"/>
        </w:rPr>
        <w:t>Zegarra Marín</w:t>
      </w:r>
      <w:r w:rsidRPr="004F7701">
        <w:rPr>
          <w:rFonts w:ascii="Verdana" w:hAnsi="Verdana"/>
          <w:color w:val="000000" w:themeColor="text1"/>
          <w:sz w:val="16"/>
          <w:szCs w:val="16"/>
        </w:rPr>
        <w:t xml:space="preserve">. </w:t>
      </w:r>
      <w:r w:rsidR="00B14482" w:rsidRPr="004F7701">
        <w:rPr>
          <w:rFonts w:ascii="Verdana" w:hAnsi="Verdana"/>
          <w:sz w:val="16"/>
          <w:szCs w:val="16"/>
        </w:rPr>
        <w:t>Asimismo</w:t>
      </w:r>
      <w:r w:rsidRPr="004F7701">
        <w:rPr>
          <w:rFonts w:ascii="Verdana" w:hAnsi="Verdana"/>
          <w:sz w:val="16"/>
          <w:szCs w:val="16"/>
        </w:rPr>
        <w:t xml:space="preserve">, el Estado aclaró que “las resoluciones emitidas por la Presidencia del Consejo de Defensa Jurídica del Estado relacionadas a la ejecución de </w:t>
      </w:r>
      <w:r w:rsidR="008871BE" w:rsidRPr="004F7701">
        <w:rPr>
          <w:rFonts w:ascii="Verdana" w:hAnsi="Verdana"/>
          <w:sz w:val="16"/>
          <w:szCs w:val="16"/>
        </w:rPr>
        <w:t>[S]</w:t>
      </w:r>
      <w:proofErr w:type="spellStart"/>
      <w:r w:rsidRPr="004F7701">
        <w:rPr>
          <w:rFonts w:ascii="Verdana" w:hAnsi="Verdana"/>
          <w:sz w:val="16"/>
          <w:szCs w:val="16"/>
        </w:rPr>
        <w:t>entencias</w:t>
      </w:r>
      <w:proofErr w:type="spellEnd"/>
      <w:r w:rsidRPr="004F7701">
        <w:rPr>
          <w:rFonts w:ascii="Verdana" w:hAnsi="Verdana"/>
          <w:sz w:val="16"/>
          <w:szCs w:val="16"/>
        </w:rPr>
        <w:t xml:space="preserve"> supranacionales gozan de validez y eficacia jurídica”. </w:t>
      </w:r>
      <w:r w:rsidRPr="004F7701">
        <w:rPr>
          <w:rFonts w:ascii="Verdana" w:hAnsi="Verdana"/>
          <w:i/>
          <w:iCs/>
          <w:sz w:val="16"/>
          <w:szCs w:val="16"/>
        </w:rPr>
        <w:t xml:space="preserve">Cfr. </w:t>
      </w:r>
      <w:r w:rsidRPr="004F7701">
        <w:rPr>
          <w:rFonts w:ascii="Verdana" w:hAnsi="Verdana"/>
          <w:color w:val="000000" w:themeColor="text1"/>
          <w:sz w:val="16"/>
          <w:szCs w:val="16"/>
        </w:rPr>
        <w:t>I</w:t>
      </w:r>
      <w:r w:rsidRPr="004F7701">
        <w:rPr>
          <w:rFonts w:ascii="Verdana" w:hAnsi="Verdana"/>
          <w:sz w:val="16"/>
          <w:szCs w:val="16"/>
        </w:rPr>
        <w:t xml:space="preserve">nformes estatales de 20 de diciembre de 2019 </w:t>
      </w:r>
      <w:r w:rsidR="008871BE" w:rsidRPr="004F7701">
        <w:rPr>
          <w:rFonts w:ascii="Verdana" w:hAnsi="Verdana"/>
          <w:sz w:val="16"/>
          <w:szCs w:val="16"/>
        </w:rPr>
        <w:t>y</w:t>
      </w:r>
      <w:r w:rsidRPr="004F7701">
        <w:rPr>
          <w:rFonts w:ascii="Verdana" w:hAnsi="Verdana"/>
          <w:sz w:val="16"/>
          <w:szCs w:val="16"/>
          <w:lang w:val="es-MX"/>
        </w:rPr>
        <w:t xml:space="preserve"> </w:t>
      </w:r>
      <w:r w:rsidRPr="004F7701">
        <w:rPr>
          <w:rFonts w:ascii="Verdana" w:hAnsi="Verdana"/>
          <w:sz w:val="16"/>
          <w:szCs w:val="16"/>
        </w:rPr>
        <w:t xml:space="preserve">8 de noviembre de 2021 en </w:t>
      </w:r>
      <w:r w:rsidR="00DD1D76">
        <w:rPr>
          <w:rFonts w:ascii="Verdana" w:hAnsi="Verdana"/>
          <w:sz w:val="16"/>
          <w:szCs w:val="16"/>
        </w:rPr>
        <w:t>los casos</w:t>
      </w:r>
      <w:r w:rsidRPr="004F7701">
        <w:rPr>
          <w:rFonts w:ascii="Verdana" w:hAnsi="Verdana"/>
          <w:i/>
          <w:iCs/>
          <w:color w:val="000000" w:themeColor="text1"/>
          <w:sz w:val="16"/>
          <w:szCs w:val="16"/>
        </w:rPr>
        <w:t xml:space="preserve"> Canales Huapaya y otro</w:t>
      </w:r>
      <w:r w:rsidR="008871BE" w:rsidRPr="004F7701">
        <w:rPr>
          <w:rFonts w:ascii="Verdana" w:hAnsi="Verdana"/>
          <w:i/>
          <w:iCs/>
          <w:color w:val="000000" w:themeColor="text1"/>
          <w:sz w:val="16"/>
          <w:szCs w:val="16"/>
        </w:rPr>
        <w:t>s</w:t>
      </w:r>
      <w:r w:rsidR="00F06E42">
        <w:rPr>
          <w:rFonts w:ascii="Verdana" w:hAnsi="Verdana"/>
          <w:color w:val="000000" w:themeColor="text1"/>
          <w:sz w:val="16"/>
          <w:szCs w:val="16"/>
        </w:rPr>
        <w:t xml:space="preserve">, </w:t>
      </w:r>
      <w:r w:rsidR="00DD1D76">
        <w:rPr>
          <w:rFonts w:ascii="Verdana" w:hAnsi="Verdana"/>
          <w:color w:val="000000" w:themeColor="text1"/>
          <w:sz w:val="16"/>
          <w:szCs w:val="16"/>
        </w:rPr>
        <w:t xml:space="preserve">y </w:t>
      </w:r>
      <w:r w:rsidR="00DD1D76" w:rsidRPr="004F7701">
        <w:rPr>
          <w:rFonts w:ascii="Verdana" w:hAnsi="Verdana"/>
          <w:i/>
          <w:iCs/>
          <w:color w:val="000000" w:themeColor="text1"/>
          <w:sz w:val="16"/>
          <w:szCs w:val="16"/>
        </w:rPr>
        <w:t>Tarazona Arrieta y otros</w:t>
      </w:r>
      <w:r w:rsidR="000A6606" w:rsidRPr="004F7701">
        <w:rPr>
          <w:rFonts w:ascii="Verdana" w:hAnsi="Verdana"/>
          <w:color w:val="000000" w:themeColor="text1"/>
          <w:sz w:val="16"/>
          <w:szCs w:val="16"/>
        </w:rPr>
        <w:t>.</w:t>
      </w:r>
    </w:p>
  </w:footnote>
  <w:footnote w:id="20">
    <w:p w14:paraId="4FE0A602" w14:textId="146BEC9A" w:rsidR="00DE7B44" w:rsidRPr="004F7701" w:rsidRDefault="00DE7B44" w:rsidP="004F7701">
      <w:pPr>
        <w:pStyle w:val="Textonotapie"/>
        <w:tabs>
          <w:tab w:val="left" w:pos="567"/>
        </w:tabs>
        <w:jc w:val="both"/>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i/>
          <w:iCs/>
          <w:sz w:val="16"/>
          <w:szCs w:val="16"/>
        </w:rPr>
        <w:t>Cfr.</w:t>
      </w:r>
      <w:r w:rsidRPr="004F7701">
        <w:rPr>
          <w:rFonts w:ascii="Verdana" w:hAnsi="Verdana"/>
          <w:sz w:val="16"/>
          <w:szCs w:val="16"/>
        </w:rPr>
        <w:t xml:space="preserve"> Informe estatal de 7 de septiembre de 2021 en el</w:t>
      </w:r>
      <w:r w:rsidRPr="004F7701">
        <w:rPr>
          <w:rFonts w:ascii="Verdana" w:hAnsi="Verdana"/>
          <w:i/>
          <w:iCs/>
          <w:color w:val="000000" w:themeColor="text1"/>
          <w:sz w:val="16"/>
          <w:szCs w:val="16"/>
        </w:rPr>
        <w:t xml:space="preserve"> Caso Zegarra Marín</w:t>
      </w:r>
      <w:r w:rsidRPr="004F7701">
        <w:rPr>
          <w:rFonts w:ascii="Verdana" w:hAnsi="Verdana"/>
          <w:color w:val="000000" w:themeColor="text1"/>
          <w:sz w:val="16"/>
          <w:szCs w:val="16"/>
        </w:rPr>
        <w:t>.</w:t>
      </w:r>
    </w:p>
  </w:footnote>
  <w:footnote w:id="21">
    <w:p w14:paraId="2C5E5675" w14:textId="36D208ED" w:rsidR="00F0263F" w:rsidRPr="004F7701" w:rsidRDefault="00F0263F" w:rsidP="004F7701">
      <w:pPr>
        <w:pStyle w:val="Textonotapie"/>
        <w:tabs>
          <w:tab w:val="left" w:pos="567"/>
        </w:tabs>
        <w:jc w:val="both"/>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i/>
          <w:iCs/>
          <w:sz w:val="16"/>
          <w:szCs w:val="16"/>
        </w:rPr>
        <w:t>Cfr.</w:t>
      </w:r>
      <w:r w:rsidRPr="004F7701">
        <w:rPr>
          <w:rFonts w:ascii="Verdana" w:hAnsi="Verdana"/>
          <w:sz w:val="16"/>
          <w:szCs w:val="16"/>
        </w:rPr>
        <w:t xml:space="preserve"> Informe estatal de 8 de noviembre de 2021 en el</w:t>
      </w:r>
      <w:r w:rsidRPr="004F7701">
        <w:rPr>
          <w:rFonts w:ascii="Verdana" w:hAnsi="Verdana"/>
          <w:i/>
          <w:iCs/>
          <w:color w:val="000000" w:themeColor="text1"/>
          <w:sz w:val="16"/>
          <w:szCs w:val="16"/>
        </w:rPr>
        <w:t xml:space="preserve"> Caso Canales Huapaya y otro</w:t>
      </w:r>
      <w:r w:rsidR="00803D53" w:rsidRPr="004F7701">
        <w:rPr>
          <w:rFonts w:ascii="Verdana" w:hAnsi="Verdana"/>
          <w:i/>
          <w:iCs/>
          <w:color w:val="000000" w:themeColor="text1"/>
          <w:sz w:val="16"/>
          <w:szCs w:val="16"/>
        </w:rPr>
        <w:t>s</w:t>
      </w:r>
      <w:r w:rsidRPr="004F7701">
        <w:rPr>
          <w:rFonts w:ascii="Verdana" w:hAnsi="Verdana"/>
          <w:color w:val="000000" w:themeColor="text1"/>
          <w:sz w:val="16"/>
          <w:szCs w:val="16"/>
        </w:rPr>
        <w:t xml:space="preserve">. </w:t>
      </w:r>
    </w:p>
  </w:footnote>
  <w:footnote w:id="22">
    <w:p w14:paraId="292FA94A" w14:textId="3CF93301" w:rsidR="00D33B55" w:rsidRPr="004F7701" w:rsidRDefault="00D33B55" w:rsidP="004F7701">
      <w:pPr>
        <w:pStyle w:val="Textonotapie"/>
        <w:tabs>
          <w:tab w:val="left" w:pos="567"/>
        </w:tabs>
        <w:jc w:val="both"/>
        <w:rPr>
          <w:rFonts w:ascii="Verdana" w:hAnsi="Verdana"/>
          <w:b/>
          <w:bCs/>
          <w:i/>
          <w:sz w:val="16"/>
          <w:szCs w:val="16"/>
          <w:lang w:val="es-AR"/>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i/>
          <w:iCs/>
          <w:sz w:val="16"/>
          <w:szCs w:val="16"/>
        </w:rPr>
        <w:t>Cfr</w:t>
      </w:r>
      <w:r w:rsidRPr="004F7701">
        <w:rPr>
          <w:rFonts w:ascii="Verdana" w:hAnsi="Verdana"/>
          <w:i/>
          <w:sz w:val="16"/>
          <w:szCs w:val="16"/>
        </w:rPr>
        <w:t xml:space="preserve">. Caso Castillo </w:t>
      </w:r>
      <w:proofErr w:type="spellStart"/>
      <w:r w:rsidRPr="004F7701">
        <w:rPr>
          <w:rFonts w:ascii="Verdana" w:hAnsi="Verdana"/>
          <w:i/>
          <w:sz w:val="16"/>
          <w:szCs w:val="16"/>
        </w:rPr>
        <w:t>Petruzzi</w:t>
      </w:r>
      <w:proofErr w:type="spellEnd"/>
      <w:r w:rsidRPr="004F7701">
        <w:rPr>
          <w:rFonts w:ascii="Verdana" w:hAnsi="Verdana"/>
          <w:i/>
          <w:sz w:val="16"/>
          <w:szCs w:val="16"/>
        </w:rPr>
        <w:t xml:space="preserve"> y otros Vs. Perú</w:t>
      </w:r>
      <w:r w:rsidR="006004D1" w:rsidRPr="004F7701">
        <w:rPr>
          <w:rFonts w:ascii="Verdana" w:hAnsi="Verdana"/>
          <w:i/>
          <w:sz w:val="16"/>
          <w:szCs w:val="16"/>
        </w:rPr>
        <w:t>. Supervisión de Cumplimiento de Sentencia</w:t>
      </w:r>
      <w:r w:rsidR="006004D1" w:rsidRPr="004F7701">
        <w:rPr>
          <w:rFonts w:ascii="Verdana" w:hAnsi="Verdana"/>
          <w:sz w:val="16"/>
          <w:szCs w:val="16"/>
        </w:rPr>
        <w:t>. Resolución de la Corte Interamericana de Derechos Humanos de 17 de noviembre de 1999</w:t>
      </w:r>
      <w:r w:rsidRPr="004F7701">
        <w:rPr>
          <w:rFonts w:ascii="Verdana" w:hAnsi="Verdana"/>
          <w:sz w:val="16"/>
          <w:szCs w:val="16"/>
        </w:rPr>
        <w:t>, Considerando 3</w:t>
      </w:r>
      <w:r w:rsidRPr="004F7701">
        <w:rPr>
          <w:rFonts w:ascii="Verdana" w:hAnsi="Verdana"/>
          <w:sz w:val="16"/>
          <w:szCs w:val="16"/>
          <w:lang w:val="es-MX"/>
        </w:rPr>
        <w:t>, y</w:t>
      </w:r>
      <w:r w:rsidRPr="004F7701">
        <w:rPr>
          <w:rFonts w:ascii="Verdana" w:hAnsi="Verdana"/>
          <w:sz w:val="16"/>
          <w:szCs w:val="16"/>
          <w:lang w:val="es-AR"/>
        </w:rPr>
        <w:t xml:space="preserve"> </w:t>
      </w:r>
      <w:r w:rsidRPr="004F7701">
        <w:rPr>
          <w:rFonts w:ascii="Verdana" w:hAnsi="Verdana"/>
          <w:i/>
          <w:sz w:val="16"/>
          <w:szCs w:val="16"/>
          <w:lang w:val="es-AR"/>
        </w:rPr>
        <w:t xml:space="preserve">Caso Familia Barrios Vs. Venezuela. Supervisión de Cumplimiento de Sentencia. </w:t>
      </w:r>
      <w:r w:rsidRPr="004F7701">
        <w:rPr>
          <w:rFonts w:ascii="Verdana" w:hAnsi="Verdana"/>
          <w:sz w:val="16"/>
          <w:szCs w:val="16"/>
          <w:lang w:val="es-AR"/>
        </w:rPr>
        <w:t>Resolución de la Corte Interamericana de Derechos Humanos de 18 de noviembre de 2020</w:t>
      </w:r>
      <w:r w:rsidRPr="004F7701">
        <w:rPr>
          <w:rStyle w:val="Textoennegrita"/>
          <w:rFonts w:ascii="Verdana" w:hAnsi="Verdana"/>
          <w:b w:val="0"/>
          <w:bCs w:val="0"/>
          <w:sz w:val="16"/>
          <w:szCs w:val="16"/>
          <w:shd w:val="clear" w:color="auto" w:fill="FFFFFF"/>
        </w:rPr>
        <w:t>, Considerando 7.</w:t>
      </w:r>
    </w:p>
  </w:footnote>
  <w:footnote w:id="23">
    <w:p w14:paraId="4382D263" w14:textId="796F274D" w:rsidR="00FF309B" w:rsidRPr="004F7701" w:rsidRDefault="00FF309B" w:rsidP="004F7701">
      <w:pPr>
        <w:pStyle w:val="Textonotapie"/>
        <w:tabs>
          <w:tab w:val="left" w:pos="567"/>
        </w:tabs>
        <w:jc w:val="both"/>
        <w:rPr>
          <w:rFonts w:ascii="Verdana" w:hAnsi="Verdana"/>
          <w:iCs/>
          <w:sz w:val="16"/>
          <w:szCs w:val="16"/>
          <w:lang w:val="es-ES"/>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i/>
          <w:sz w:val="16"/>
          <w:szCs w:val="16"/>
        </w:rPr>
        <w:t xml:space="preserve">Cfr. Caso Castillo </w:t>
      </w:r>
      <w:proofErr w:type="spellStart"/>
      <w:r w:rsidRPr="004F7701">
        <w:rPr>
          <w:rFonts w:ascii="Verdana" w:hAnsi="Verdana"/>
          <w:i/>
          <w:sz w:val="16"/>
          <w:szCs w:val="16"/>
        </w:rPr>
        <w:t>Petruzzi</w:t>
      </w:r>
      <w:proofErr w:type="spellEnd"/>
      <w:r w:rsidRPr="004F7701">
        <w:rPr>
          <w:rFonts w:ascii="Verdana" w:hAnsi="Verdana"/>
          <w:i/>
          <w:sz w:val="16"/>
          <w:szCs w:val="16"/>
        </w:rPr>
        <w:t xml:space="preserve"> y otros Vs. Perú</w:t>
      </w:r>
      <w:r w:rsidR="006C3467" w:rsidRPr="004F7701">
        <w:rPr>
          <w:rFonts w:ascii="Verdana" w:hAnsi="Verdana"/>
          <w:i/>
          <w:sz w:val="16"/>
          <w:szCs w:val="16"/>
        </w:rPr>
        <w:t xml:space="preserve">, supra </w:t>
      </w:r>
      <w:r w:rsidR="006C3467" w:rsidRPr="004F7701">
        <w:rPr>
          <w:rFonts w:ascii="Verdana" w:hAnsi="Verdana"/>
          <w:iCs/>
          <w:sz w:val="16"/>
          <w:szCs w:val="16"/>
        </w:rPr>
        <w:t>nota 2</w:t>
      </w:r>
      <w:r w:rsidR="00CE3C38">
        <w:rPr>
          <w:rFonts w:ascii="Verdana" w:hAnsi="Verdana"/>
          <w:iCs/>
          <w:sz w:val="16"/>
          <w:szCs w:val="16"/>
        </w:rPr>
        <w:t>2</w:t>
      </w:r>
      <w:r w:rsidRPr="004F7701">
        <w:rPr>
          <w:rFonts w:ascii="Verdana" w:hAnsi="Verdana"/>
          <w:sz w:val="16"/>
          <w:szCs w:val="16"/>
        </w:rPr>
        <w:t>, Considerando 3</w:t>
      </w:r>
      <w:r w:rsidRPr="00CE3C38">
        <w:rPr>
          <w:rFonts w:ascii="Verdana" w:hAnsi="Verdana"/>
          <w:i/>
          <w:iCs/>
          <w:sz w:val="16"/>
          <w:szCs w:val="16"/>
        </w:rPr>
        <w:t>, y</w:t>
      </w:r>
      <w:r w:rsidRPr="004F7701">
        <w:rPr>
          <w:rFonts w:ascii="Verdana" w:hAnsi="Verdana"/>
          <w:i/>
          <w:sz w:val="16"/>
          <w:szCs w:val="16"/>
        </w:rPr>
        <w:t xml:space="preserve"> </w:t>
      </w:r>
      <w:r w:rsidR="00866D20" w:rsidRPr="004F7701">
        <w:rPr>
          <w:rFonts w:ascii="Verdana" w:hAnsi="Verdana"/>
          <w:i/>
          <w:sz w:val="16"/>
          <w:szCs w:val="16"/>
        </w:rPr>
        <w:t xml:space="preserve">Caso "Cinco Pensionistas" Vs. Perú. Supervisión de Cumplimiento de Sentencia. </w:t>
      </w:r>
      <w:r w:rsidR="00866D20" w:rsidRPr="004F7701">
        <w:rPr>
          <w:rFonts w:ascii="Verdana" w:hAnsi="Verdana"/>
          <w:iCs/>
          <w:sz w:val="16"/>
          <w:szCs w:val="16"/>
        </w:rPr>
        <w:t>Resolución de la Corte Interamericana de Derechos Humanos de 25 de noviembre de 2021, Considerando 11.</w:t>
      </w:r>
    </w:p>
  </w:footnote>
  <w:footnote w:id="24">
    <w:p w14:paraId="15E97F82" w14:textId="7606C0E1" w:rsidR="00BF2B96" w:rsidRPr="004F7701" w:rsidRDefault="00BF2B96"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i/>
          <w:sz w:val="16"/>
          <w:szCs w:val="16"/>
        </w:rPr>
        <w:t>Cfr.</w:t>
      </w:r>
      <w:r w:rsidRPr="004F7701">
        <w:rPr>
          <w:rFonts w:ascii="Verdana" w:hAnsi="Verdana"/>
          <w:sz w:val="16"/>
          <w:szCs w:val="16"/>
        </w:rPr>
        <w:t xml:space="preserve"> </w:t>
      </w:r>
      <w:r w:rsidRPr="004F7701">
        <w:rPr>
          <w:rFonts w:ascii="Verdana" w:hAnsi="Verdana"/>
          <w:i/>
          <w:iCs/>
          <w:sz w:val="16"/>
          <w:szCs w:val="16"/>
        </w:rPr>
        <w:t>Responsabilidad internacional por expedición y aplicación de leyes violatorias de la Convención (arts. 1 y 2 Convención Americana sobre Derechos Humanos)</w:t>
      </w:r>
      <w:r w:rsidRPr="004F7701">
        <w:rPr>
          <w:rFonts w:ascii="Verdana" w:hAnsi="Verdana"/>
          <w:sz w:val="16"/>
          <w:szCs w:val="16"/>
        </w:rPr>
        <w:t>. Opinión Consultiva OC-14/94 de 9 de diciembre de 1994. Serie A No. 14, párr. 35</w:t>
      </w:r>
      <w:r w:rsidR="00CE3C38">
        <w:rPr>
          <w:rFonts w:ascii="Verdana" w:hAnsi="Verdana"/>
          <w:sz w:val="16"/>
          <w:szCs w:val="16"/>
        </w:rPr>
        <w:t>,</w:t>
      </w:r>
      <w:r w:rsidRPr="004F7701">
        <w:rPr>
          <w:rFonts w:ascii="Verdana" w:hAnsi="Verdana"/>
          <w:sz w:val="16"/>
          <w:szCs w:val="16"/>
        </w:rPr>
        <w:t xml:space="preserve"> y</w:t>
      </w:r>
      <w:r w:rsidR="00BA5DD0" w:rsidRPr="004F7701">
        <w:rPr>
          <w:rFonts w:ascii="Verdana" w:hAnsi="Verdana"/>
          <w:sz w:val="16"/>
          <w:szCs w:val="16"/>
        </w:rPr>
        <w:t xml:space="preserve"> </w:t>
      </w:r>
      <w:r w:rsidR="00BA5DD0" w:rsidRPr="004F7701">
        <w:rPr>
          <w:rFonts w:ascii="Verdana" w:hAnsi="Verdana"/>
          <w:i/>
          <w:iCs/>
          <w:sz w:val="16"/>
          <w:szCs w:val="16"/>
        </w:rPr>
        <w:t>Caso Acevedo Buendía y otros (“Cesantes y Jubilados de la Contraloría”) Vs. Perú. Supervisión de Cumplimiento de Sentencia</w:t>
      </w:r>
      <w:r w:rsidR="00BA5DD0" w:rsidRPr="004F7701">
        <w:rPr>
          <w:rFonts w:ascii="Verdana" w:hAnsi="Verdana"/>
          <w:sz w:val="16"/>
          <w:szCs w:val="16"/>
        </w:rPr>
        <w:t>. Resolución de la Corte Interamericana de Derechos Humanos de 21 de junio de 2021,</w:t>
      </w:r>
      <w:r w:rsidR="00BA5DD0" w:rsidRPr="004F7701" w:rsidDel="00BA5DD0">
        <w:rPr>
          <w:rFonts w:ascii="Verdana" w:hAnsi="Verdana"/>
          <w:sz w:val="16"/>
          <w:szCs w:val="16"/>
        </w:rPr>
        <w:t xml:space="preserve"> </w:t>
      </w:r>
      <w:r w:rsidR="00BA5DD0" w:rsidRPr="004F7701">
        <w:rPr>
          <w:rFonts w:ascii="Verdana" w:hAnsi="Verdana"/>
          <w:sz w:val="16"/>
          <w:szCs w:val="16"/>
        </w:rPr>
        <w:t>Considerando 14.</w:t>
      </w:r>
    </w:p>
  </w:footnote>
  <w:footnote w:id="25">
    <w:p w14:paraId="1AE3146F" w14:textId="6A1FCBC9" w:rsidR="00733746" w:rsidRPr="004F7701" w:rsidRDefault="00733746" w:rsidP="004F7701">
      <w:pPr>
        <w:pStyle w:val="Textonotapie"/>
        <w:tabs>
          <w:tab w:val="left" w:pos="567"/>
        </w:tabs>
        <w:jc w:val="both"/>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00642232" w:rsidRPr="004F7701">
        <w:rPr>
          <w:rFonts w:ascii="Verdana" w:hAnsi="Verdana"/>
          <w:sz w:val="16"/>
          <w:szCs w:val="16"/>
          <w:lang w:val="es-MX"/>
        </w:rPr>
        <w:t xml:space="preserve">A este respecto, la Corte también ha indicado que </w:t>
      </w:r>
      <w:r w:rsidR="00642232" w:rsidRPr="004F7701">
        <w:rPr>
          <w:rFonts w:ascii="Verdana" w:hAnsi="Verdana"/>
          <w:sz w:val="16"/>
          <w:szCs w:val="16"/>
        </w:rPr>
        <w:t>“las normas de presupuesto no pueden justificar la demora durante años del cumplimiento de sentencias”</w:t>
      </w:r>
      <w:r w:rsidR="00642232" w:rsidRPr="004F7701">
        <w:rPr>
          <w:rFonts w:ascii="Verdana" w:hAnsi="Verdana"/>
          <w:color w:val="000000" w:themeColor="text1"/>
          <w:sz w:val="16"/>
          <w:szCs w:val="16"/>
        </w:rPr>
        <w:t xml:space="preserve">, pues es el </w:t>
      </w:r>
      <w:r w:rsidR="00642232" w:rsidRPr="004F7701">
        <w:rPr>
          <w:rFonts w:ascii="Verdana" w:hAnsi="Verdana"/>
          <w:sz w:val="16"/>
          <w:szCs w:val="16"/>
        </w:rPr>
        <w:t>Estado el que debe adoptar las medidas necesarias para su cumplimiento, lo cual incluye medidas de carácter presupuestal.</w:t>
      </w:r>
      <w:r w:rsidR="00642232" w:rsidRPr="004F7701">
        <w:rPr>
          <w:rFonts w:ascii="Verdana" w:hAnsi="Verdana"/>
          <w:i/>
          <w:iCs/>
          <w:sz w:val="16"/>
          <w:szCs w:val="16"/>
          <w:lang w:val="es-MX"/>
        </w:rPr>
        <w:t xml:space="preserve"> </w:t>
      </w:r>
      <w:r w:rsidRPr="004F7701">
        <w:rPr>
          <w:rFonts w:ascii="Verdana" w:hAnsi="Verdana"/>
          <w:i/>
          <w:iCs/>
          <w:sz w:val="16"/>
          <w:szCs w:val="16"/>
          <w:lang w:val="es-MX"/>
        </w:rPr>
        <w:t xml:space="preserve">Cfr. </w:t>
      </w:r>
      <w:r w:rsidR="00C227B3" w:rsidRPr="004F7701">
        <w:rPr>
          <w:rFonts w:ascii="Verdana" w:hAnsi="Verdana"/>
          <w:i/>
          <w:iCs/>
          <w:sz w:val="16"/>
          <w:szCs w:val="16"/>
          <w:lang w:val="es-MX"/>
        </w:rPr>
        <w:t>Caso Acevedo Jaramillo y otros Vs. Perú. Excepciones Preliminares, Fondo, Reparaciones y Costas.</w:t>
      </w:r>
      <w:r w:rsidR="00C227B3" w:rsidRPr="004F7701">
        <w:rPr>
          <w:rFonts w:ascii="Verdana" w:hAnsi="Verdana"/>
          <w:sz w:val="16"/>
          <w:szCs w:val="16"/>
          <w:lang w:val="es-MX"/>
        </w:rPr>
        <w:t xml:space="preserve"> Sentencia de 7 de febrero de 2006. Serie C No. 144, párr. 225</w:t>
      </w:r>
      <w:r w:rsidR="0060123C" w:rsidRPr="004F7701">
        <w:rPr>
          <w:rFonts w:ascii="Verdana" w:hAnsi="Verdana"/>
          <w:sz w:val="16"/>
          <w:szCs w:val="16"/>
          <w:lang w:val="es-MX"/>
        </w:rPr>
        <w:t>;</w:t>
      </w:r>
      <w:r w:rsidR="00C227B3" w:rsidRPr="004F7701">
        <w:rPr>
          <w:rFonts w:ascii="Verdana" w:hAnsi="Verdana"/>
          <w:sz w:val="16"/>
          <w:szCs w:val="16"/>
          <w:lang w:val="es-MX"/>
        </w:rPr>
        <w:t xml:space="preserve"> </w:t>
      </w:r>
      <w:r w:rsidRPr="004F7701">
        <w:rPr>
          <w:rFonts w:ascii="Verdana" w:hAnsi="Verdana"/>
          <w:i/>
          <w:iCs/>
          <w:sz w:val="16"/>
          <w:szCs w:val="16"/>
          <w:lang w:val="es-MX"/>
        </w:rPr>
        <w:t xml:space="preserve">Caso Acevedo Buendía y otros (“Cesantes y Jubilados de la Contraloría”) Vs. Perú. Excepción Preliminar, Fondo, Reparaciones y Costas. </w:t>
      </w:r>
      <w:r w:rsidRPr="004F7701">
        <w:rPr>
          <w:rFonts w:ascii="Verdana" w:hAnsi="Verdana"/>
          <w:sz w:val="16"/>
          <w:szCs w:val="16"/>
          <w:lang w:val="es-MX"/>
        </w:rPr>
        <w:t>Sentencia de 1 de julio de 2009, párr. 75</w:t>
      </w:r>
      <w:r w:rsidR="00C227B3" w:rsidRPr="004F7701">
        <w:rPr>
          <w:rFonts w:ascii="Verdana" w:hAnsi="Verdana"/>
          <w:sz w:val="16"/>
          <w:szCs w:val="16"/>
          <w:lang w:val="es-MX"/>
        </w:rPr>
        <w:t>,</w:t>
      </w:r>
      <w:r w:rsidRPr="004F7701">
        <w:rPr>
          <w:rFonts w:ascii="Verdana" w:hAnsi="Verdana"/>
          <w:sz w:val="16"/>
          <w:szCs w:val="16"/>
          <w:lang w:val="es-MX"/>
        </w:rPr>
        <w:t xml:space="preserve"> y </w:t>
      </w:r>
      <w:r w:rsidRPr="004F7701">
        <w:rPr>
          <w:rFonts w:ascii="Verdana" w:hAnsi="Verdana"/>
          <w:i/>
          <w:iCs/>
          <w:sz w:val="16"/>
          <w:szCs w:val="16"/>
          <w:lang w:val="es-MX"/>
        </w:rPr>
        <w:t>Caso Acevedo Buendía y otros (“Cesantes y Jubilados de la Contraloría”) Vs. Perú. Supervisión de Cumplimiento de Sentencia</w:t>
      </w:r>
      <w:r w:rsidRPr="004F7701">
        <w:rPr>
          <w:rFonts w:ascii="Verdana" w:hAnsi="Verdana"/>
          <w:sz w:val="16"/>
          <w:szCs w:val="16"/>
          <w:lang w:val="es-MX"/>
        </w:rPr>
        <w:t>. Resolución de la Corte Interamericana de Derechos Humanos de 21 de junio de 2021, Considerando 15.</w:t>
      </w:r>
    </w:p>
  </w:footnote>
  <w:footnote w:id="26">
    <w:p w14:paraId="1FD504EB" w14:textId="1D15D196" w:rsidR="00262FA6" w:rsidRPr="004F7701" w:rsidRDefault="00262FA6" w:rsidP="004F7701">
      <w:pPr>
        <w:pStyle w:val="Textonotapie"/>
        <w:tabs>
          <w:tab w:val="left" w:pos="567"/>
        </w:tabs>
        <w:jc w:val="both"/>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i/>
          <w:sz w:val="16"/>
          <w:szCs w:val="16"/>
          <w:lang w:val="es-MX"/>
        </w:rPr>
        <w:t xml:space="preserve">Cfr. Caso García Lucero y otras Vs. Chile. Excepción Preliminar, Fondo y Reparaciones. </w:t>
      </w:r>
      <w:r w:rsidRPr="004F7701">
        <w:rPr>
          <w:rFonts w:ascii="Verdana" w:hAnsi="Verdana"/>
          <w:sz w:val="16"/>
          <w:szCs w:val="16"/>
          <w:lang w:val="es-MX"/>
        </w:rPr>
        <w:t xml:space="preserve">Sentencia de 28 de agosto de 2013. Serie C No. 267, párr. 246, y </w:t>
      </w:r>
      <w:r w:rsidRPr="004F7701">
        <w:rPr>
          <w:rFonts w:ascii="Verdana" w:hAnsi="Verdana"/>
          <w:i/>
          <w:sz w:val="16"/>
          <w:szCs w:val="16"/>
          <w:lang w:val="es-MX"/>
        </w:rPr>
        <w:t>Caso Profesores de Chañaral y otras municipalidades Vs. Chile. Excepción Preliminar, Fondo, Reparaciones y Costas</w:t>
      </w:r>
      <w:r w:rsidRPr="004F7701">
        <w:rPr>
          <w:rFonts w:ascii="Verdana" w:hAnsi="Verdana"/>
          <w:sz w:val="16"/>
          <w:szCs w:val="16"/>
          <w:lang w:val="es-MX"/>
        </w:rPr>
        <w:t xml:space="preserve">. Sentencia de 10 de noviembre de 2021. Serie C No. 443, </w:t>
      </w:r>
      <w:proofErr w:type="spellStart"/>
      <w:r w:rsidRPr="004F7701">
        <w:rPr>
          <w:rFonts w:ascii="Verdana" w:hAnsi="Verdana"/>
          <w:sz w:val="16"/>
          <w:szCs w:val="16"/>
          <w:lang w:val="es-MX"/>
        </w:rPr>
        <w:t>párrs</w:t>
      </w:r>
      <w:proofErr w:type="spellEnd"/>
      <w:r w:rsidRPr="004F7701">
        <w:rPr>
          <w:rFonts w:ascii="Verdana" w:hAnsi="Verdana"/>
          <w:sz w:val="16"/>
          <w:szCs w:val="16"/>
          <w:lang w:val="es-MX"/>
        </w:rPr>
        <w:t>. 15</w:t>
      </w:r>
      <w:r w:rsidR="00A74574" w:rsidRPr="004F7701">
        <w:rPr>
          <w:rFonts w:ascii="Verdana" w:hAnsi="Verdana"/>
          <w:sz w:val="16"/>
          <w:szCs w:val="16"/>
          <w:lang w:val="es-MX"/>
        </w:rPr>
        <w:t>2</w:t>
      </w:r>
      <w:r w:rsidRPr="004F7701">
        <w:rPr>
          <w:rFonts w:ascii="Verdana" w:hAnsi="Verdana"/>
          <w:sz w:val="16"/>
          <w:szCs w:val="16"/>
          <w:lang w:val="es-MX"/>
        </w:rPr>
        <w:t xml:space="preserve"> y 18</w:t>
      </w:r>
      <w:r w:rsidR="00A526C0" w:rsidRPr="004F7701">
        <w:rPr>
          <w:rFonts w:ascii="Verdana" w:hAnsi="Verdana"/>
          <w:sz w:val="16"/>
          <w:szCs w:val="16"/>
          <w:lang w:val="es-MX"/>
        </w:rPr>
        <w:t>0</w:t>
      </w:r>
      <w:r w:rsidRPr="004F7701">
        <w:rPr>
          <w:rFonts w:ascii="Verdana" w:hAnsi="Verdana"/>
          <w:sz w:val="16"/>
          <w:szCs w:val="16"/>
          <w:lang w:val="es-MX"/>
        </w:rPr>
        <w:t>.</w:t>
      </w:r>
    </w:p>
  </w:footnote>
  <w:footnote w:id="27">
    <w:p w14:paraId="4A2A7E9E" w14:textId="77777777" w:rsidR="00262FA6" w:rsidRPr="004F7701" w:rsidRDefault="00262FA6" w:rsidP="004F7701">
      <w:pPr>
        <w:pStyle w:val="Textonotapie"/>
        <w:tabs>
          <w:tab w:val="left" w:pos="567"/>
        </w:tabs>
        <w:jc w:val="both"/>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t>El artículo 31 de la Convención Interamericana sobre la Protección de los Derechos Humanos de las Personas Mayores, establece que los “Estados Parte se comprometen a garantizar la debida diligencia y el tratamiento preferencial a la persona mayor para la tramitación, resolución y ejecución de las decisiones en procesos administrativos y judiciales”. El 1 de marzo de 2021 el Estado del Perú depositó el instrumento de adhesión a dicho tratado.</w:t>
      </w:r>
    </w:p>
  </w:footnote>
  <w:footnote w:id="28">
    <w:p w14:paraId="3BA3B126" w14:textId="77777777" w:rsidR="003573E5" w:rsidRPr="004F7701" w:rsidRDefault="003573E5" w:rsidP="004F7701">
      <w:pPr>
        <w:pStyle w:val="Textonotapie"/>
        <w:tabs>
          <w:tab w:val="left" w:pos="567"/>
        </w:tabs>
        <w:jc w:val="both"/>
        <w:rPr>
          <w:rFonts w:ascii="Verdana" w:hAnsi="Verdana"/>
          <w:sz w:val="16"/>
          <w:szCs w:val="16"/>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rPr>
        <w:tab/>
      </w:r>
      <w:r w:rsidRPr="004F7701">
        <w:rPr>
          <w:rFonts w:ascii="Verdana" w:hAnsi="Verdana"/>
          <w:i/>
          <w:sz w:val="16"/>
          <w:szCs w:val="16"/>
        </w:rPr>
        <w:t xml:space="preserve">Cfr. Caso </w:t>
      </w:r>
      <w:proofErr w:type="spellStart"/>
      <w:r w:rsidRPr="004F7701">
        <w:rPr>
          <w:rFonts w:ascii="Verdana" w:hAnsi="Verdana"/>
          <w:i/>
          <w:sz w:val="16"/>
          <w:szCs w:val="16"/>
        </w:rPr>
        <w:t>Ivcher</w:t>
      </w:r>
      <w:proofErr w:type="spellEnd"/>
      <w:r w:rsidRPr="004F7701">
        <w:rPr>
          <w:rFonts w:ascii="Verdana" w:hAnsi="Verdana"/>
          <w:i/>
          <w:sz w:val="16"/>
          <w:szCs w:val="16"/>
        </w:rPr>
        <w:t xml:space="preserve"> </w:t>
      </w:r>
      <w:proofErr w:type="spellStart"/>
      <w:r w:rsidRPr="004F7701">
        <w:rPr>
          <w:rFonts w:ascii="Verdana" w:hAnsi="Verdana"/>
          <w:i/>
          <w:sz w:val="16"/>
          <w:szCs w:val="16"/>
        </w:rPr>
        <w:t>Bronstein</w:t>
      </w:r>
      <w:proofErr w:type="spellEnd"/>
      <w:r w:rsidRPr="004F7701">
        <w:rPr>
          <w:rFonts w:ascii="Verdana" w:hAnsi="Verdana"/>
          <w:i/>
          <w:sz w:val="16"/>
          <w:szCs w:val="16"/>
        </w:rPr>
        <w:t xml:space="preserve"> Vs. Perú. Competencia</w:t>
      </w:r>
      <w:r w:rsidRPr="004F7701">
        <w:rPr>
          <w:rFonts w:ascii="Verdana" w:hAnsi="Verdana"/>
          <w:sz w:val="16"/>
          <w:szCs w:val="16"/>
        </w:rPr>
        <w:t>. Sentencia de la Corte Interamericana de Derechos</w:t>
      </w:r>
    </w:p>
    <w:p w14:paraId="11CFC7F0" w14:textId="503126EC" w:rsidR="003573E5" w:rsidRPr="004F7701" w:rsidRDefault="003573E5" w:rsidP="004F7701">
      <w:pPr>
        <w:pStyle w:val="Textonotapie"/>
        <w:tabs>
          <w:tab w:val="left" w:pos="567"/>
        </w:tabs>
        <w:jc w:val="both"/>
        <w:rPr>
          <w:rFonts w:ascii="Verdana" w:hAnsi="Verdana"/>
          <w:sz w:val="16"/>
          <w:szCs w:val="16"/>
        </w:rPr>
      </w:pPr>
      <w:r w:rsidRPr="004F7701">
        <w:rPr>
          <w:rFonts w:ascii="Verdana" w:hAnsi="Verdana"/>
          <w:sz w:val="16"/>
          <w:szCs w:val="16"/>
        </w:rPr>
        <w:t>Humanos de 24 de septiembre de 1999. Serie C No. 54, párr. 37, y</w:t>
      </w:r>
      <w:r w:rsidRPr="004F7701">
        <w:rPr>
          <w:rFonts w:ascii="Verdana" w:hAnsi="Verdana"/>
          <w:i/>
          <w:sz w:val="16"/>
          <w:szCs w:val="16"/>
        </w:rPr>
        <w:t xml:space="preserve"> </w:t>
      </w:r>
      <w:r w:rsidR="00D65139" w:rsidRPr="004F7701">
        <w:rPr>
          <w:rFonts w:ascii="Verdana" w:hAnsi="Verdana"/>
          <w:i/>
          <w:sz w:val="16"/>
          <w:szCs w:val="16"/>
        </w:rPr>
        <w:t>Caso Masacres de El Mozote y lugares aledaños Vs. El Salvador. Supervisión de Cumplimiento de Sentencia</w:t>
      </w:r>
      <w:r w:rsidR="00D65139" w:rsidRPr="004F7701">
        <w:rPr>
          <w:rFonts w:ascii="Verdana" w:hAnsi="Verdana"/>
          <w:sz w:val="16"/>
          <w:szCs w:val="16"/>
        </w:rPr>
        <w:t>. Resolución de la Corte Interamericana de Derechos Humanos de 25 de noviembre de 2021, Considerando 2.</w:t>
      </w:r>
    </w:p>
  </w:footnote>
  <w:footnote w:id="29">
    <w:p w14:paraId="08A2B4D3" w14:textId="1C4224FC" w:rsidR="0000589E" w:rsidRPr="004F7701" w:rsidRDefault="0000589E" w:rsidP="004F7701">
      <w:pPr>
        <w:pStyle w:val="Textonotapie"/>
        <w:tabs>
          <w:tab w:val="left" w:pos="567"/>
        </w:tabs>
        <w:jc w:val="both"/>
        <w:rPr>
          <w:rFonts w:ascii="Verdana" w:hAnsi="Verdana"/>
          <w:sz w:val="16"/>
          <w:szCs w:val="16"/>
          <w:lang w:val="es-MX"/>
        </w:rPr>
      </w:pPr>
      <w:r w:rsidRPr="004F7701">
        <w:rPr>
          <w:rStyle w:val="Refdenotaalpie"/>
          <w:rFonts w:ascii="Verdana" w:hAnsi="Verdana"/>
          <w:sz w:val="16"/>
          <w:szCs w:val="16"/>
        </w:rPr>
        <w:footnoteRef/>
      </w:r>
      <w:r w:rsidRPr="004F7701">
        <w:rPr>
          <w:rFonts w:ascii="Verdana" w:hAnsi="Verdana"/>
          <w:sz w:val="16"/>
          <w:szCs w:val="16"/>
        </w:rPr>
        <w:t xml:space="preserve"> </w:t>
      </w:r>
      <w:r w:rsidRPr="004F7701">
        <w:rPr>
          <w:rFonts w:ascii="Verdana" w:hAnsi="Verdana"/>
          <w:sz w:val="16"/>
          <w:szCs w:val="16"/>
          <w:lang w:val="es-MX"/>
        </w:rPr>
        <w:tab/>
      </w:r>
      <w:r w:rsidRPr="004F7701">
        <w:rPr>
          <w:rFonts w:ascii="Verdana" w:hAnsi="Verdana"/>
          <w:i/>
          <w:iCs/>
          <w:sz w:val="16"/>
          <w:szCs w:val="16"/>
          <w:lang w:val="es-MX"/>
        </w:rPr>
        <w:t>Cfr. Caso Baena Ricardo y otros Vs. Panamá. Competencia.</w:t>
      </w:r>
      <w:r w:rsidRPr="004F7701">
        <w:rPr>
          <w:rFonts w:ascii="Verdana" w:hAnsi="Verdana"/>
          <w:sz w:val="16"/>
          <w:szCs w:val="16"/>
          <w:lang w:val="es-MX"/>
        </w:rPr>
        <w:t xml:space="preserve"> Sentencia de 28 de noviembre de 2003. Serie C No. 104, párr. 83, y</w:t>
      </w:r>
      <w:r w:rsidR="007B0C67" w:rsidRPr="004F7701">
        <w:rPr>
          <w:rFonts w:ascii="Verdana" w:hAnsi="Verdana"/>
          <w:sz w:val="16"/>
          <w:szCs w:val="16"/>
          <w:lang w:val="es-MX"/>
        </w:rPr>
        <w:t xml:space="preserve"> </w:t>
      </w:r>
      <w:r w:rsidR="007B0C67" w:rsidRPr="004F7701">
        <w:rPr>
          <w:rFonts w:ascii="Verdana" w:hAnsi="Verdana"/>
          <w:i/>
          <w:iCs/>
          <w:sz w:val="16"/>
          <w:szCs w:val="16"/>
          <w:lang w:val="es-MX"/>
        </w:rPr>
        <w:t>Caso Acevedo Jaramillo y otros Vs. Perú. Supervisión de Cumplimiento de Sentencia</w:t>
      </w:r>
      <w:r w:rsidR="007B0C67" w:rsidRPr="004F7701">
        <w:rPr>
          <w:rFonts w:ascii="Verdana" w:hAnsi="Verdana"/>
          <w:sz w:val="16"/>
          <w:szCs w:val="16"/>
          <w:lang w:val="es-MX"/>
        </w:rPr>
        <w:t>. Resolución de la Corte Interamericana de Derechos Humanos de 30 de abril de 2021,</w:t>
      </w:r>
      <w:r w:rsidRPr="004F7701">
        <w:rPr>
          <w:rFonts w:ascii="Verdana" w:hAnsi="Verdana"/>
          <w:sz w:val="16"/>
          <w:szCs w:val="16"/>
          <w:lang w:val="es-MX"/>
        </w:rPr>
        <w:t xml:space="preserve"> </w:t>
      </w:r>
      <w:r w:rsidR="007B0C67" w:rsidRPr="004F7701">
        <w:rPr>
          <w:rFonts w:ascii="Verdana" w:hAnsi="Verdana"/>
          <w:sz w:val="16"/>
          <w:szCs w:val="16"/>
          <w:lang w:val="es-MX"/>
        </w:rPr>
        <w:t>Considerando 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5D3"/>
    <w:multiLevelType w:val="hybridMultilevel"/>
    <w:tmpl w:val="4A483B10"/>
    <w:lvl w:ilvl="0" w:tplc="38DE07B6">
      <w:start w:val="1"/>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6B2D65"/>
    <w:multiLevelType w:val="hybridMultilevel"/>
    <w:tmpl w:val="75D02A0E"/>
    <w:lvl w:ilvl="0" w:tplc="140A000F">
      <w:start w:val="1"/>
      <w:numFmt w:val="decimal"/>
      <w:lvlText w:val="%1."/>
      <w:lvlJc w:val="left"/>
      <w:pPr>
        <w:ind w:left="45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1667DC"/>
    <w:multiLevelType w:val="hybridMultilevel"/>
    <w:tmpl w:val="63F65A62"/>
    <w:lvl w:ilvl="0" w:tplc="EAC66D3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2ADE"/>
    <w:multiLevelType w:val="hybridMultilevel"/>
    <w:tmpl w:val="10FCDC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160CBD"/>
    <w:multiLevelType w:val="hybridMultilevel"/>
    <w:tmpl w:val="9EBAE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213E3F"/>
    <w:multiLevelType w:val="hybridMultilevel"/>
    <w:tmpl w:val="271A7022"/>
    <w:lvl w:ilvl="0" w:tplc="5D98262E">
      <w:start w:val="1"/>
      <w:numFmt w:val="lowerLetter"/>
      <w:lvlText w:val="%1)"/>
      <w:lvlJc w:val="lef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404A40"/>
    <w:multiLevelType w:val="hybridMultilevel"/>
    <w:tmpl w:val="3E8E4BB2"/>
    <w:lvl w:ilvl="0" w:tplc="7F9AB33A">
      <w:start w:val="4"/>
      <w:numFmt w:val="bullet"/>
      <w:lvlText w:val="-"/>
      <w:lvlJc w:val="left"/>
      <w:pPr>
        <w:ind w:left="720" w:hanging="360"/>
      </w:pPr>
      <w:rPr>
        <w:rFonts w:ascii="Open Sans" w:eastAsiaTheme="minorHAnsi" w:hAnsi="Open Sans" w:cs="Open Sans" w:hint="default"/>
        <w:color w:val="494848"/>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8F68DD"/>
    <w:multiLevelType w:val="hybridMultilevel"/>
    <w:tmpl w:val="A9D26754"/>
    <w:lvl w:ilvl="0" w:tplc="924E4690">
      <w:start w:val="1"/>
      <w:numFmt w:val="decimal"/>
      <w:lvlText w:val="%1."/>
      <w:lvlJc w:val="left"/>
      <w:pPr>
        <w:ind w:left="1440" w:hanging="360"/>
      </w:pPr>
      <w:rPr>
        <w:rFonts w:cs="Times New Roman"/>
        <w:b w:val="0"/>
      </w:rPr>
    </w:lvl>
    <w:lvl w:ilvl="1" w:tplc="080A0017">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591041"/>
    <w:multiLevelType w:val="hybridMultilevel"/>
    <w:tmpl w:val="C302A1C6"/>
    <w:lvl w:ilvl="0" w:tplc="D7A8001E">
      <w:start w:val="4"/>
      <w:numFmt w:val="bullet"/>
      <w:lvlText w:val="-"/>
      <w:lvlJc w:val="left"/>
      <w:pPr>
        <w:ind w:left="720" w:hanging="360"/>
      </w:pPr>
      <w:rPr>
        <w:rFonts w:ascii="Verdana" w:eastAsiaTheme="minorHAnsi" w:hAnsi="Verdana" w:cs="Calibr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53A379F"/>
    <w:multiLevelType w:val="hybridMultilevel"/>
    <w:tmpl w:val="D700A34E"/>
    <w:lvl w:ilvl="0" w:tplc="F5FC6700">
      <w:start w:val="1"/>
      <w:numFmt w:val="decimal"/>
      <w:lvlText w:val="%1."/>
      <w:lvlJc w:val="left"/>
      <w:pPr>
        <w:ind w:left="720" w:hanging="360"/>
      </w:pPr>
      <w:rPr>
        <w:rFonts w:ascii="Open Sans" w:hAnsi="Open Sans" w:cs="Open Sans" w:hint="default"/>
        <w:color w:val="49484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88C1C6E"/>
    <w:multiLevelType w:val="hybridMultilevel"/>
    <w:tmpl w:val="99F011D0"/>
    <w:lvl w:ilvl="0" w:tplc="FFFFFFFF">
      <w:start w:val="4"/>
      <w:numFmt w:val="bullet"/>
      <w:lvlText w:val="-"/>
      <w:lvlJc w:val="left"/>
      <w:pPr>
        <w:ind w:left="720" w:hanging="360"/>
      </w:pPr>
      <w:rPr>
        <w:rFonts w:ascii="Verdana" w:eastAsiaTheme="minorHAnsi" w:hAnsi="Verdana" w:cs="Calibri" w:hint="default"/>
      </w:rPr>
    </w:lvl>
    <w:lvl w:ilvl="1" w:tplc="140A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EB12AB"/>
    <w:multiLevelType w:val="hybridMultilevel"/>
    <w:tmpl w:val="70BA2830"/>
    <w:lvl w:ilvl="0" w:tplc="3F0AC0E4">
      <w:start w:val="1"/>
      <w:numFmt w:val="upperLetter"/>
      <w:lvlText w:val="%1)"/>
      <w:lvlJc w:val="left"/>
      <w:pPr>
        <w:ind w:left="9149" w:hanging="360"/>
      </w:pPr>
      <w:rPr>
        <w:rFonts w:ascii="Verdana" w:hAnsi="Verdana" w:hint="default"/>
        <w:i/>
        <w:iCs/>
        <w:sz w:val="20"/>
        <w:szCs w:val="20"/>
      </w:r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12" w15:restartNumberingAfterBreak="0">
    <w:nsid w:val="5CB3179B"/>
    <w:multiLevelType w:val="hybridMultilevel"/>
    <w:tmpl w:val="58DC6FA8"/>
    <w:lvl w:ilvl="0" w:tplc="0090D86C">
      <w:start w:val="1"/>
      <w:numFmt w:val="upperLetter"/>
      <w:lvlText w:val="%1."/>
      <w:lvlJc w:val="left"/>
      <w:pPr>
        <w:ind w:left="927" w:hanging="360"/>
      </w:pPr>
      <w:rPr>
        <w:rFonts w:hint="default"/>
        <w:i/>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15:restartNumberingAfterBreak="0">
    <w:nsid w:val="63A62E70"/>
    <w:multiLevelType w:val="hybridMultilevel"/>
    <w:tmpl w:val="10FCDC1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C22F6F"/>
    <w:multiLevelType w:val="hybridMultilevel"/>
    <w:tmpl w:val="ECAACC80"/>
    <w:lvl w:ilvl="0" w:tplc="0212BE38">
      <w:start w:val="1"/>
      <w:numFmt w:val="lowerLetter"/>
      <w:lvlText w:val="%1)"/>
      <w:lvlJc w:val="left"/>
      <w:pPr>
        <w:ind w:left="1408" w:hanging="840"/>
      </w:pPr>
      <w:rPr>
        <w:rFonts w:hint="defaul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5" w15:restartNumberingAfterBreak="0">
    <w:nsid w:val="6BC81D15"/>
    <w:multiLevelType w:val="hybridMultilevel"/>
    <w:tmpl w:val="B6080208"/>
    <w:lvl w:ilvl="0" w:tplc="652845A4">
      <w:start w:val="1"/>
      <w:numFmt w:val="decimal"/>
      <w:lvlText w:val="%1."/>
      <w:lvlJc w:val="left"/>
      <w:pPr>
        <w:ind w:left="720" w:hanging="360"/>
      </w:pPr>
      <w:rPr>
        <w:b w:val="0"/>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79D00155"/>
    <w:multiLevelType w:val="hybridMultilevel"/>
    <w:tmpl w:val="0C9877C6"/>
    <w:lvl w:ilvl="0" w:tplc="610EEE36">
      <w:start w:val="1"/>
      <w:numFmt w:val="decimal"/>
      <w:lvlText w:val="%1."/>
      <w:lvlJc w:val="left"/>
      <w:pPr>
        <w:ind w:left="3054" w:hanging="360"/>
      </w:pPr>
      <w:rPr>
        <w:b w:val="0"/>
        <w:sz w:val="20"/>
      </w:rPr>
    </w:lvl>
    <w:lvl w:ilvl="1" w:tplc="140A0019">
      <w:start w:val="1"/>
      <w:numFmt w:val="lowerLetter"/>
      <w:lvlText w:val="%2."/>
      <w:lvlJc w:val="left"/>
      <w:pPr>
        <w:ind w:left="938" w:hanging="360"/>
      </w:pPr>
    </w:lvl>
    <w:lvl w:ilvl="2" w:tplc="140A001B">
      <w:start w:val="1"/>
      <w:numFmt w:val="lowerRoman"/>
      <w:lvlText w:val="%3."/>
      <w:lvlJc w:val="right"/>
      <w:pPr>
        <w:ind w:left="1658" w:hanging="180"/>
      </w:pPr>
    </w:lvl>
    <w:lvl w:ilvl="3" w:tplc="140A000F">
      <w:start w:val="1"/>
      <w:numFmt w:val="decimal"/>
      <w:lvlText w:val="%4."/>
      <w:lvlJc w:val="left"/>
      <w:pPr>
        <w:ind w:left="2378" w:hanging="360"/>
      </w:pPr>
    </w:lvl>
    <w:lvl w:ilvl="4" w:tplc="140A0019">
      <w:start w:val="1"/>
      <w:numFmt w:val="lowerLetter"/>
      <w:lvlText w:val="%5."/>
      <w:lvlJc w:val="left"/>
      <w:pPr>
        <w:ind w:left="3098" w:hanging="360"/>
      </w:pPr>
    </w:lvl>
    <w:lvl w:ilvl="5" w:tplc="140A001B">
      <w:start w:val="1"/>
      <w:numFmt w:val="lowerRoman"/>
      <w:lvlText w:val="%6."/>
      <w:lvlJc w:val="right"/>
      <w:pPr>
        <w:ind w:left="3818" w:hanging="180"/>
      </w:pPr>
    </w:lvl>
    <w:lvl w:ilvl="6" w:tplc="140A000F">
      <w:start w:val="1"/>
      <w:numFmt w:val="decimal"/>
      <w:lvlText w:val="%7."/>
      <w:lvlJc w:val="left"/>
      <w:pPr>
        <w:ind w:left="4538" w:hanging="360"/>
      </w:pPr>
    </w:lvl>
    <w:lvl w:ilvl="7" w:tplc="140A0019">
      <w:start w:val="1"/>
      <w:numFmt w:val="lowerLetter"/>
      <w:lvlText w:val="%8."/>
      <w:lvlJc w:val="left"/>
      <w:pPr>
        <w:ind w:left="5258" w:hanging="360"/>
      </w:pPr>
    </w:lvl>
    <w:lvl w:ilvl="8" w:tplc="140A001B">
      <w:start w:val="1"/>
      <w:numFmt w:val="lowerRoman"/>
      <w:lvlText w:val="%9."/>
      <w:lvlJc w:val="right"/>
      <w:pPr>
        <w:ind w:left="5978" w:hanging="180"/>
      </w:pPr>
    </w:lvl>
  </w:abstractNum>
  <w:num w:numId="1" w16cid:durableId="1903131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36756">
    <w:abstractNumId w:val="8"/>
  </w:num>
  <w:num w:numId="3" w16cid:durableId="1097209194">
    <w:abstractNumId w:val="15"/>
  </w:num>
  <w:num w:numId="4" w16cid:durableId="1057168124">
    <w:abstractNumId w:val="10"/>
  </w:num>
  <w:num w:numId="5" w16cid:durableId="1070424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7713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24333">
    <w:abstractNumId w:val="12"/>
  </w:num>
  <w:num w:numId="8" w16cid:durableId="1388869874">
    <w:abstractNumId w:val="5"/>
  </w:num>
  <w:num w:numId="9" w16cid:durableId="1667055859">
    <w:abstractNumId w:val="1"/>
  </w:num>
  <w:num w:numId="10" w16cid:durableId="911425577">
    <w:abstractNumId w:val="4"/>
  </w:num>
  <w:num w:numId="11" w16cid:durableId="288632130">
    <w:abstractNumId w:val="0"/>
  </w:num>
  <w:num w:numId="12" w16cid:durableId="1079525961">
    <w:abstractNumId w:val="13"/>
  </w:num>
  <w:num w:numId="13" w16cid:durableId="172689679">
    <w:abstractNumId w:val="3"/>
  </w:num>
  <w:num w:numId="14" w16cid:durableId="1279873316">
    <w:abstractNumId w:val="2"/>
  </w:num>
  <w:num w:numId="15" w16cid:durableId="1504782241">
    <w:abstractNumId w:val="7"/>
  </w:num>
  <w:num w:numId="16" w16cid:durableId="1433743777">
    <w:abstractNumId w:val="14"/>
  </w:num>
  <w:num w:numId="17" w16cid:durableId="1719235947">
    <w:abstractNumId w:val="6"/>
  </w:num>
  <w:num w:numId="18" w16cid:durableId="1562406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02"/>
    <w:rsid w:val="00001571"/>
    <w:rsid w:val="000027CF"/>
    <w:rsid w:val="00003482"/>
    <w:rsid w:val="00004B7D"/>
    <w:rsid w:val="0000589E"/>
    <w:rsid w:val="00005B5A"/>
    <w:rsid w:val="00006AE9"/>
    <w:rsid w:val="00020E9A"/>
    <w:rsid w:val="0002376D"/>
    <w:rsid w:val="00031F44"/>
    <w:rsid w:val="000323D1"/>
    <w:rsid w:val="00033131"/>
    <w:rsid w:val="0003546F"/>
    <w:rsid w:val="000373D8"/>
    <w:rsid w:val="00042CE7"/>
    <w:rsid w:val="00042EFC"/>
    <w:rsid w:val="000459FA"/>
    <w:rsid w:val="00050BAF"/>
    <w:rsid w:val="00052C65"/>
    <w:rsid w:val="0005702B"/>
    <w:rsid w:val="000618D3"/>
    <w:rsid w:val="000639F0"/>
    <w:rsid w:val="00064290"/>
    <w:rsid w:val="0006596B"/>
    <w:rsid w:val="0006605B"/>
    <w:rsid w:val="00066B22"/>
    <w:rsid w:val="000702D3"/>
    <w:rsid w:val="00070B1F"/>
    <w:rsid w:val="00071546"/>
    <w:rsid w:val="00081D74"/>
    <w:rsid w:val="00085218"/>
    <w:rsid w:val="000910CA"/>
    <w:rsid w:val="00092A8F"/>
    <w:rsid w:val="00092C5B"/>
    <w:rsid w:val="00095AFE"/>
    <w:rsid w:val="000A56A4"/>
    <w:rsid w:val="000A6606"/>
    <w:rsid w:val="000A7D27"/>
    <w:rsid w:val="000A7D53"/>
    <w:rsid w:val="000B1107"/>
    <w:rsid w:val="000B4189"/>
    <w:rsid w:val="000B6122"/>
    <w:rsid w:val="000B6FF2"/>
    <w:rsid w:val="000B7C92"/>
    <w:rsid w:val="000C31CC"/>
    <w:rsid w:val="000D0CA7"/>
    <w:rsid w:val="000D752C"/>
    <w:rsid w:val="000E2EAC"/>
    <w:rsid w:val="000E3250"/>
    <w:rsid w:val="000E54AD"/>
    <w:rsid w:val="000E5B68"/>
    <w:rsid w:val="000F24F9"/>
    <w:rsid w:val="000F63B2"/>
    <w:rsid w:val="001001AA"/>
    <w:rsid w:val="00100B59"/>
    <w:rsid w:val="00100D69"/>
    <w:rsid w:val="00111A2F"/>
    <w:rsid w:val="00112361"/>
    <w:rsid w:val="00113BC5"/>
    <w:rsid w:val="001153BE"/>
    <w:rsid w:val="0011672D"/>
    <w:rsid w:val="00116F76"/>
    <w:rsid w:val="00120007"/>
    <w:rsid w:val="00131D38"/>
    <w:rsid w:val="0013648C"/>
    <w:rsid w:val="00137F0B"/>
    <w:rsid w:val="0014075D"/>
    <w:rsid w:val="00141A8F"/>
    <w:rsid w:val="001435F5"/>
    <w:rsid w:val="0014424A"/>
    <w:rsid w:val="00146BAC"/>
    <w:rsid w:val="0015312A"/>
    <w:rsid w:val="0015775F"/>
    <w:rsid w:val="001625B0"/>
    <w:rsid w:val="00162C0B"/>
    <w:rsid w:val="0017002A"/>
    <w:rsid w:val="001703EA"/>
    <w:rsid w:val="00174350"/>
    <w:rsid w:val="001830C4"/>
    <w:rsid w:val="00186921"/>
    <w:rsid w:val="001928B5"/>
    <w:rsid w:val="001941BC"/>
    <w:rsid w:val="001942C8"/>
    <w:rsid w:val="0019438F"/>
    <w:rsid w:val="00196D5E"/>
    <w:rsid w:val="00197A65"/>
    <w:rsid w:val="001A6F90"/>
    <w:rsid w:val="001A7BF2"/>
    <w:rsid w:val="001A7F9F"/>
    <w:rsid w:val="001B1180"/>
    <w:rsid w:val="001B417B"/>
    <w:rsid w:val="001C02DA"/>
    <w:rsid w:val="001C50BC"/>
    <w:rsid w:val="001D0622"/>
    <w:rsid w:val="001D6C37"/>
    <w:rsid w:val="001D7781"/>
    <w:rsid w:val="001E5610"/>
    <w:rsid w:val="001E5F0C"/>
    <w:rsid w:val="001E6CE2"/>
    <w:rsid w:val="001E7420"/>
    <w:rsid w:val="001F1E6E"/>
    <w:rsid w:val="00201458"/>
    <w:rsid w:val="00203CBC"/>
    <w:rsid w:val="002051D0"/>
    <w:rsid w:val="0021032F"/>
    <w:rsid w:val="00210614"/>
    <w:rsid w:val="00210945"/>
    <w:rsid w:val="0021210B"/>
    <w:rsid w:val="00214450"/>
    <w:rsid w:val="002248F0"/>
    <w:rsid w:val="00224AA0"/>
    <w:rsid w:val="002267DD"/>
    <w:rsid w:val="002316C8"/>
    <w:rsid w:val="00233BB3"/>
    <w:rsid w:val="002345F3"/>
    <w:rsid w:val="0023529E"/>
    <w:rsid w:val="00237025"/>
    <w:rsid w:val="00237204"/>
    <w:rsid w:val="002379C7"/>
    <w:rsid w:val="00240861"/>
    <w:rsid w:val="002424BA"/>
    <w:rsid w:val="00242533"/>
    <w:rsid w:val="002445CF"/>
    <w:rsid w:val="00245E36"/>
    <w:rsid w:val="00246F0E"/>
    <w:rsid w:val="00262B7C"/>
    <w:rsid w:val="00262FA6"/>
    <w:rsid w:val="00263368"/>
    <w:rsid w:val="00263B21"/>
    <w:rsid w:val="0026620F"/>
    <w:rsid w:val="002675D5"/>
    <w:rsid w:val="0027198B"/>
    <w:rsid w:val="00272E47"/>
    <w:rsid w:val="002736D0"/>
    <w:rsid w:val="00274D58"/>
    <w:rsid w:val="00286734"/>
    <w:rsid w:val="00290528"/>
    <w:rsid w:val="00290918"/>
    <w:rsid w:val="00293F45"/>
    <w:rsid w:val="002A229E"/>
    <w:rsid w:val="002B0A45"/>
    <w:rsid w:val="002B4B4A"/>
    <w:rsid w:val="002B5366"/>
    <w:rsid w:val="002B649C"/>
    <w:rsid w:val="002B6ECA"/>
    <w:rsid w:val="002B6FC6"/>
    <w:rsid w:val="002B709E"/>
    <w:rsid w:val="002B7E94"/>
    <w:rsid w:val="002C6E20"/>
    <w:rsid w:val="002D1FCB"/>
    <w:rsid w:val="002D32B0"/>
    <w:rsid w:val="002D364C"/>
    <w:rsid w:val="002D65D3"/>
    <w:rsid w:val="002D7417"/>
    <w:rsid w:val="002E2679"/>
    <w:rsid w:val="002E334F"/>
    <w:rsid w:val="002F0E46"/>
    <w:rsid w:val="00301131"/>
    <w:rsid w:val="00302B7F"/>
    <w:rsid w:val="003051B0"/>
    <w:rsid w:val="003102D3"/>
    <w:rsid w:val="00313AF8"/>
    <w:rsid w:val="00314189"/>
    <w:rsid w:val="00315FA1"/>
    <w:rsid w:val="00320207"/>
    <w:rsid w:val="003224E9"/>
    <w:rsid w:val="0032536C"/>
    <w:rsid w:val="003300E5"/>
    <w:rsid w:val="00330571"/>
    <w:rsid w:val="00330ADC"/>
    <w:rsid w:val="00331D45"/>
    <w:rsid w:val="00331F7C"/>
    <w:rsid w:val="00332B53"/>
    <w:rsid w:val="00332D72"/>
    <w:rsid w:val="00333EFC"/>
    <w:rsid w:val="0033454F"/>
    <w:rsid w:val="00336601"/>
    <w:rsid w:val="00336B60"/>
    <w:rsid w:val="003374DF"/>
    <w:rsid w:val="00337D20"/>
    <w:rsid w:val="003439A7"/>
    <w:rsid w:val="00345903"/>
    <w:rsid w:val="00355733"/>
    <w:rsid w:val="003573E5"/>
    <w:rsid w:val="003624FF"/>
    <w:rsid w:val="00362956"/>
    <w:rsid w:val="00373CEE"/>
    <w:rsid w:val="00381E8D"/>
    <w:rsid w:val="00387CE5"/>
    <w:rsid w:val="00391F74"/>
    <w:rsid w:val="0039218D"/>
    <w:rsid w:val="00393FD9"/>
    <w:rsid w:val="003A2263"/>
    <w:rsid w:val="003A475A"/>
    <w:rsid w:val="003A4E9C"/>
    <w:rsid w:val="003A5B55"/>
    <w:rsid w:val="003A5EAF"/>
    <w:rsid w:val="003B0350"/>
    <w:rsid w:val="003B1C0C"/>
    <w:rsid w:val="003B259F"/>
    <w:rsid w:val="003B515C"/>
    <w:rsid w:val="003C3F48"/>
    <w:rsid w:val="003C609D"/>
    <w:rsid w:val="003C78C1"/>
    <w:rsid w:val="003C7D8E"/>
    <w:rsid w:val="003D257E"/>
    <w:rsid w:val="003D5A5F"/>
    <w:rsid w:val="003D6384"/>
    <w:rsid w:val="003E2F2E"/>
    <w:rsid w:val="003E3A56"/>
    <w:rsid w:val="0040292E"/>
    <w:rsid w:val="00402934"/>
    <w:rsid w:val="0040399F"/>
    <w:rsid w:val="00403F0B"/>
    <w:rsid w:val="0041381F"/>
    <w:rsid w:val="00415F6A"/>
    <w:rsid w:val="004175ED"/>
    <w:rsid w:val="00420DE9"/>
    <w:rsid w:val="00421296"/>
    <w:rsid w:val="00423C5C"/>
    <w:rsid w:val="004265FC"/>
    <w:rsid w:val="004274DD"/>
    <w:rsid w:val="00432E4B"/>
    <w:rsid w:val="0043335D"/>
    <w:rsid w:val="00433B12"/>
    <w:rsid w:val="00444990"/>
    <w:rsid w:val="00444F26"/>
    <w:rsid w:val="0044536E"/>
    <w:rsid w:val="004457FB"/>
    <w:rsid w:val="0045016E"/>
    <w:rsid w:val="004504BE"/>
    <w:rsid w:val="0045177A"/>
    <w:rsid w:val="004518BF"/>
    <w:rsid w:val="004565A4"/>
    <w:rsid w:val="0045769D"/>
    <w:rsid w:val="0045771A"/>
    <w:rsid w:val="004614A5"/>
    <w:rsid w:val="00462CB9"/>
    <w:rsid w:val="00464A7F"/>
    <w:rsid w:val="00466EC7"/>
    <w:rsid w:val="0046733A"/>
    <w:rsid w:val="004723BF"/>
    <w:rsid w:val="00472CA6"/>
    <w:rsid w:val="004730D3"/>
    <w:rsid w:val="004753A2"/>
    <w:rsid w:val="00476D98"/>
    <w:rsid w:val="00477C49"/>
    <w:rsid w:val="004808DC"/>
    <w:rsid w:val="00480A00"/>
    <w:rsid w:val="00482008"/>
    <w:rsid w:val="00482F4A"/>
    <w:rsid w:val="00487B78"/>
    <w:rsid w:val="0049060B"/>
    <w:rsid w:val="00491517"/>
    <w:rsid w:val="00492206"/>
    <w:rsid w:val="004978CA"/>
    <w:rsid w:val="004A0D3A"/>
    <w:rsid w:val="004A2000"/>
    <w:rsid w:val="004A4A01"/>
    <w:rsid w:val="004A4B1A"/>
    <w:rsid w:val="004A6FC4"/>
    <w:rsid w:val="004B1412"/>
    <w:rsid w:val="004B149D"/>
    <w:rsid w:val="004B6077"/>
    <w:rsid w:val="004C2102"/>
    <w:rsid w:val="004C474B"/>
    <w:rsid w:val="004C485C"/>
    <w:rsid w:val="004C6C76"/>
    <w:rsid w:val="004E202F"/>
    <w:rsid w:val="004E352E"/>
    <w:rsid w:val="004E6B09"/>
    <w:rsid w:val="004F668B"/>
    <w:rsid w:val="004F7701"/>
    <w:rsid w:val="00502F7B"/>
    <w:rsid w:val="0050360F"/>
    <w:rsid w:val="00504092"/>
    <w:rsid w:val="00504EDC"/>
    <w:rsid w:val="00505DAF"/>
    <w:rsid w:val="00510A55"/>
    <w:rsid w:val="0051174C"/>
    <w:rsid w:val="005140E1"/>
    <w:rsid w:val="00515422"/>
    <w:rsid w:val="00521394"/>
    <w:rsid w:val="0052797F"/>
    <w:rsid w:val="00533E4C"/>
    <w:rsid w:val="0053541E"/>
    <w:rsid w:val="00535C21"/>
    <w:rsid w:val="00537970"/>
    <w:rsid w:val="00537F85"/>
    <w:rsid w:val="00543512"/>
    <w:rsid w:val="00543B51"/>
    <w:rsid w:val="00545056"/>
    <w:rsid w:val="00545DE7"/>
    <w:rsid w:val="005466EF"/>
    <w:rsid w:val="00546C6F"/>
    <w:rsid w:val="00550349"/>
    <w:rsid w:val="0055121C"/>
    <w:rsid w:val="00557DEA"/>
    <w:rsid w:val="0056428D"/>
    <w:rsid w:val="00565BF6"/>
    <w:rsid w:val="00575AAE"/>
    <w:rsid w:val="00586B80"/>
    <w:rsid w:val="00593DB5"/>
    <w:rsid w:val="00594E59"/>
    <w:rsid w:val="00595A45"/>
    <w:rsid w:val="00596ADD"/>
    <w:rsid w:val="005A03CA"/>
    <w:rsid w:val="005A19DB"/>
    <w:rsid w:val="005A5DC5"/>
    <w:rsid w:val="005B6E7E"/>
    <w:rsid w:val="005C0C35"/>
    <w:rsid w:val="005C2E36"/>
    <w:rsid w:val="005C431C"/>
    <w:rsid w:val="005C730F"/>
    <w:rsid w:val="005C7E0E"/>
    <w:rsid w:val="005D1833"/>
    <w:rsid w:val="005D23A2"/>
    <w:rsid w:val="005D58AA"/>
    <w:rsid w:val="005D663B"/>
    <w:rsid w:val="005D77C6"/>
    <w:rsid w:val="005E1C2B"/>
    <w:rsid w:val="005E2586"/>
    <w:rsid w:val="005E2F15"/>
    <w:rsid w:val="005E3823"/>
    <w:rsid w:val="005E3F1E"/>
    <w:rsid w:val="005E41EF"/>
    <w:rsid w:val="005F0D19"/>
    <w:rsid w:val="005F15EF"/>
    <w:rsid w:val="005F5834"/>
    <w:rsid w:val="005F784B"/>
    <w:rsid w:val="005F7919"/>
    <w:rsid w:val="00600377"/>
    <w:rsid w:val="006004D1"/>
    <w:rsid w:val="00600704"/>
    <w:rsid w:val="0060123C"/>
    <w:rsid w:val="00601591"/>
    <w:rsid w:val="006021F2"/>
    <w:rsid w:val="006037FD"/>
    <w:rsid w:val="00603AC0"/>
    <w:rsid w:val="00604291"/>
    <w:rsid w:val="0060621F"/>
    <w:rsid w:val="006119FC"/>
    <w:rsid w:val="00612ACC"/>
    <w:rsid w:val="0061363D"/>
    <w:rsid w:val="00613CA7"/>
    <w:rsid w:val="006166C1"/>
    <w:rsid w:val="00616861"/>
    <w:rsid w:val="00621C65"/>
    <w:rsid w:val="00630345"/>
    <w:rsid w:val="00634B19"/>
    <w:rsid w:val="00637AF2"/>
    <w:rsid w:val="0064130C"/>
    <w:rsid w:val="00642232"/>
    <w:rsid w:val="006467B8"/>
    <w:rsid w:val="00650792"/>
    <w:rsid w:val="00651D96"/>
    <w:rsid w:val="006529A6"/>
    <w:rsid w:val="00652DFD"/>
    <w:rsid w:val="00655123"/>
    <w:rsid w:val="00655893"/>
    <w:rsid w:val="00657F4D"/>
    <w:rsid w:val="00657FC1"/>
    <w:rsid w:val="00672C43"/>
    <w:rsid w:val="00675A51"/>
    <w:rsid w:val="006764F1"/>
    <w:rsid w:val="006778B9"/>
    <w:rsid w:val="00680C24"/>
    <w:rsid w:val="00683560"/>
    <w:rsid w:val="0068362A"/>
    <w:rsid w:val="00683DF6"/>
    <w:rsid w:val="0068667B"/>
    <w:rsid w:val="00686D68"/>
    <w:rsid w:val="00687DD0"/>
    <w:rsid w:val="006920D8"/>
    <w:rsid w:val="006923DC"/>
    <w:rsid w:val="006947BC"/>
    <w:rsid w:val="00694AF1"/>
    <w:rsid w:val="00697208"/>
    <w:rsid w:val="006A0ED2"/>
    <w:rsid w:val="006A4F68"/>
    <w:rsid w:val="006A5A96"/>
    <w:rsid w:val="006B253C"/>
    <w:rsid w:val="006C08BD"/>
    <w:rsid w:val="006C0CE9"/>
    <w:rsid w:val="006C18EE"/>
    <w:rsid w:val="006C3467"/>
    <w:rsid w:val="006D6192"/>
    <w:rsid w:val="006D7031"/>
    <w:rsid w:val="006D7BC1"/>
    <w:rsid w:val="006E2034"/>
    <w:rsid w:val="006E3E11"/>
    <w:rsid w:val="006F051F"/>
    <w:rsid w:val="006F2A34"/>
    <w:rsid w:val="006F3DBC"/>
    <w:rsid w:val="006F54C0"/>
    <w:rsid w:val="00704DD0"/>
    <w:rsid w:val="00705DCF"/>
    <w:rsid w:val="00710F67"/>
    <w:rsid w:val="007121E0"/>
    <w:rsid w:val="007147BF"/>
    <w:rsid w:val="007149F1"/>
    <w:rsid w:val="00714CDC"/>
    <w:rsid w:val="00714F35"/>
    <w:rsid w:val="00717A27"/>
    <w:rsid w:val="007202A5"/>
    <w:rsid w:val="007229A1"/>
    <w:rsid w:val="00722B62"/>
    <w:rsid w:val="00722E64"/>
    <w:rsid w:val="0073034A"/>
    <w:rsid w:val="007315B1"/>
    <w:rsid w:val="00733746"/>
    <w:rsid w:val="00733FB3"/>
    <w:rsid w:val="00734982"/>
    <w:rsid w:val="00734A51"/>
    <w:rsid w:val="00742ED2"/>
    <w:rsid w:val="007448A9"/>
    <w:rsid w:val="00745361"/>
    <w:rsid w:val="00754110"/>
    <w:rsid w:val="00762D5F"/>
    <w:rsid w:val="00763267"/>
    <w:rsid w:val="007641D2"/>
    <w:rsid w:val="00772811"/>
    <w:rsid w:val="00775D7F"/>
    <w:rsid w:val="00776CEA"/>
    <w:rsid w:val="00780C68"/>
    <w:rsid w:val="00780FC9"/>
    <w:rsid w:val="007810DE"/>
    <w:rsid w:val="00784BFF"/>
    <w:rsid w:val="0079281C"/>
    <w:rsid w:val="007928F8"/>
    <w:rsid w:val="007931EA"/>
    <w:rsid w:val="0079569D"/>
    <w:rsid w:val="00797047"/>
    <w:rsid w:val="007A0540"/>
    <w:rsid w:val="007A20B1"/>
    <w:rsid w:val="007B0491"/>
    <w:rsid w:val="007B07EE"/>
    <w:rsid w:val="007B0C67"/>
    <w:rsid w:val="007B110C"/>
    <w:rsid w:val="007B668C"/>
    <w:rsid w:val="007B7D37"/>
    <w:rsid w:val="007C02BB"/>
    <w:rsid w:val="007C5D13"/>
    <w:rsid w:val="007C6881"/>
    <w:rsid w:val="007D19E3"/>
    <w:rsid w:val="007D33BE"/>
    <w:rsid w:val="007D7387"/>
    <w:rsid w:val="007D7C57"/>
    <w:rsid w:val="007E1D1E"/>
    <w:rsid w:val="007E523B"/>
    <w:rsid w:val="007E5AA9"/>
    <w:rsid w:val="007E66B2"/>
    <w:rsid w:val="007F5426"/>
    <w:rsid w:val="007F7F14"/>
    <w:rsid w:val="00800AC1"/>
    <w:rsid w:val="0080149E"/>
    <w:rsid w:val="00802788"/>
    <w:rsid w:val="008033B2"/>
    <w:rsid w:val="00803D53"/>
    <w:rsid w:val="00807EF0"/>
    <w:rsid w:val="0081025F"/>
    <w:rsid w:val="00811D27"/>
    <w:rsid w:val="008210D7"/>
    <w:rsid w:val="00824288"/>
    <w:rsid w:val="00825532"/>
    <w:rsid w:val="00825AE3"/>
    <w:rsid w:val="00826DF1"/>
    <w:rsid w:val="008310BB"/>
    <w:rsid w:val="00833C85"/>
    <w:rsid w:val="00834688"/>
    <w:rsid w:val="00836235"/>
    <w:rsid w:val="00837092"/>
    <w:rsid w:val="00846095"/>
    <w:rsid w:val="00847829"/>
    <w:rsid w:val="00850966"/>
    <w:rsid w:val="00851428"/>
    <w:rsid w:val="0085292E"/>
    <w:rsid w:val="008548C2"/>
    <w:rsid w:val="00855026"/>
    <w:rsid w:val="00855B01"/>
    <w:rsid w:val="00855CB6"/>
    <w:rsid w:val="00866005"/>
    <w:rsid w:val="00866D20"/>
    <w:rsid w:val="00870165"/>
    <w:rsid w:val="008746FC"/>
    <w:rsid w:val="00880463"/>
    <w:rsid w:val="00880D12"/>
    <w:rsid w:val="00883171"/>
    <w:rsid w:val="008834EE"/>
    <w:rsid w:val="00884960"/>
    <w:rsid w:val="008865F1"/>
    <w:rsid w:val="0088696A"/>
    <w:rsid w:val="00886E70"/>
    <w:rsid w:val="00886EB2"/>
    <w:rsid w:val="008871BE"/>
    <w:rsid w:val="00890302"/>
    <w:rsid w:val="0089272F"/>
    <w:rsid w:val="00897F1B"/>
    <w:rsid w:val="008A024C"/>
    <w:rsid w:val="008A389C"/>
    <w:rsid w:val="008A7C8F"/>
    <w:rsid w:val="008A7D08"/>
    <w:rsid w:val="008B3CAC"/>
    <w:rsid w:val="008C0213"/>
    <w:rsid w:val="008C1F5A"/>
    <w:rsid w:val="008C30D2"/>
    <w:rsid w:val="008C518C"/>
    <w:rsid w:val="008C5534"/>
    <w:rsid w:val="008C7F33"/>
    <w:rsid w:val="008D00D6"/>
    <w:rsid w:val="008D0B2C"/>
    <w:rsid w:val="008D0FAA"/>
    <w:rsid w:val="008D349E"/>
    <w:rsid w:val="008D5C6F"/>
    <w:rsid w:val="008E170B"/>
    <w:rsid w:val="008E26A7"/>
    <w:rsid w:val="008E4440"/>
    <w:rsid w:val="008E75F2"/>
    <w:rsid w:val="008F07F8"/>
    <w:rsid w:val="008F1E1F"/>
    <w:rsid w:val="008F406C"/>
    <w:rsid w:val="008F4A69"/>
    <w:rsid w:val="008F5730"/>
    <w:rsid w:val="008F7DB1"/>
    <w:rsid w:val="00902A70"/>
    <w:rsid w:val="00902CF3"/>
    <w:rsid w:val="00910222"/>
    <w:rsid w:val="00911FDC"/>
    <w:rsid w:val="00912CA6"/>
    <w:rsid w:val="009202D5"/>
    <w:rsid w:val="0092294F"/>
    <w:rsid w:val="00922C6A"/>
    <w:rsid w:val="00923D67"/>
    <w:rsid w:val="00931013"/>
    <w:rsid w:val="00932DCE"/>
    <w:rsid w:val="009349F9"/>
    <w:rsid w:val="00936A56"/>
    <w:rsid w:val="00937A19"/>
    <w:rsid w:val="00940CF8"/>
    <w:rsid w:val="00943264"/>
    <w:rsid w:val="00950FA1"/>
    <w:rsid w:val="009524A9"/>
    <w:rsid w:val="00952F32"/>
    <w:rsid w:val="00954F12"/>
    <w:rsid w:val="00957DF7"/>
    <w:rsid w:val="00961277"/>
    <w:rsid w:val="00961BE6"/>
    <w:rsid w:val="00961EED"/>
    <w:rsid w:val="00967246"/>
    <w:rsid w:val="0097051B"/>
    <w:rsid w:val="00971331"/>
    <w:rsid w:val="009736D1"/>
    <w:rsid w:val="00976C20"/>
    <w:rsid w:val="00982D94"/>
    <w:rsid w:val="009833D2"/>
    <w:rsid w:val="0098653D"/>
    <w:rsid w:val="00987D9A"/>
    <w:rsid w:val="00990C0F"/>
    <w:rsid w:val="00991D27"/>
    <w:rsid w:val="00993FE6"/>
    <w:rsid w:val="009947A6"/>
    <w:rsid w:val="0099668D"/>
    <w:rsid w:val="009A0692"/>
    <w:rsid w:val="009A484E"/>
    <w:rsid w:val="009A59B9"/>
    <w:rsid w:val="009A6C5B"/>
    <w:rsid w:val="009B31D1"/>
    <w:rsid w:val="009B3C35"/>
    <w:rsid w:val="009C1367"/>
    <w:rsid w:val="009C1896"/>
    <w:rsid w:val="009C209C"/>
    <w:rsid w:val="009C2EC3"/>
    <w:rsid w:val="009C399D"/>
    <w:rsid w:val="009D08CB"/>
    <w:rsid w:val="009D361A"/>
    <w:rsid w:val="009D3CAA"/>
    <w:rsid w:val="009E05B4"/>
    <w:rsid w:val="009E1C12"/>
    <w:rsid w:val="009E33E6"/>
    <w:rsid w:val="009E495B"/>
    <w:rsid w:val="009E49E0"/>
    <w:rsid w:val="009E728B"/>
    <w:rsid w:val="009F25B4"/>
    <w:rsid w:val="009F3F93"/>
    <w:rsid w:val="009F4A38"/>
    <w:rsid w:val="009F4F80"/>
    <w:rsid w:val="00A00EAA"/>
    <w:rsid w:val="00A01A2E"/>
    <w:rsid w:val="00A04B36"/>
    <w:rsid w:val="00A113BD"/>
    <w:rsid w:val="00A1157F"/>
    <w:rsid w:val="00A135CF"/>
    <w:rsid w:val="00A20453"/>
    <w:rsid w:val="00A22771"/>
    <w:rsid w:val="00A22EFD"/>
    <w:rsid w:val="00A256DF"/>
    <w:rsid w:val="00A26595"/>
    <w:rsid w:val="00A33231"/>
    <w:rsid w:val="00A3463F"/>
    <w:rsid w:val="00A34BCA"/>
    <w:rsid w:val="00A37E15"/>
    <w:rsid w:val="00A40921"/>
    <w:rsid w:val="00A4793F"/>
    <w:rsid w:val="00A526C0"/>
    <w:rsid w:val="00A55F53"/>
    <w:rsid w:val="00A645A3"/>
    <w:rsid w:val="00A6523B"/>
    <w:rsid w:val="00A7243B"/>
    <w:rsid w:val="00A74574"/>
    <w:rsid w:val="00A74EAE"/>
    <w:rsid w:val="00A759E5"/>
    <w:rsid w:val="00A76D81"/>
    <w:rsid w:val="00A76E4F"/>
    <w:rsid w:val="00A81176"/>
    <w:rsid w:val="00A81964"/>
    <w:rsid w:val="00A8304B"/>
    <w:rsid w:val="00A85AE9"/>
    <w:rsid w:val="00A87754"/>
    <w:rsid w:val="00A905A5"/>
    <w:rsid w:val="00A90E4D"/>
    <w:rsid w:val="00A91A76"/>
    <w:rsid w:val="00A970B3"/>
    <w:rsid w:val="00A9724E"/>
    <w:rsid w:val="00A97A86"/>
    <w:rsid w:val="00AA0214"/>
    <w:rsid w:val="00AA0289"/>
    <w:rsid w:val="00AA2F0D"/>
    <w:rsid w:val="00AA38E7"/>
    <w:rsid w:val="00AA5714"/>
    <w:rsid w:val="00AA6D2F"/>
    <w:rsid w:val="00AB2492"/>
    <w:rsid w:val="00AB258D"/>
    <w:rsid w:val="00AB3450"/>
    <w:rsid w:val="00AB52D6"/>
    <w:rsid w:val="00AB66A2"/>
    <w:rsid w:val="00AC0CCE"/>
    <w:rsid w:val="00AC2416"/>
    <w:rsid w:val="00AC3EE3"/>
    <w:rsid w:val="00AC57B5"/>
    <w:rsid w:val="00AC5AC2"/>
    <w:rsid w:val="00AC6556"/>
    <w:rsid w:val="00AC6596"/>
    <w:rsid w:val="00AD7C1A"/>
    <w:rsid w:val="00AD7CC7"/>
    <w:rsid w:val="00AE1ADA"/>
    <w:rsid w:val="00AE5D35"/>
    <w:rsid w:val="00AE5E43"/>
    <w:rsid w:val="00AE7F30"/>
    <w:rsid w:val="00AF3132"/>
    <w:rsid w:val="00AF689F"/>
    <w:rsid w:val="00B01DA0"/>
    <w:rsid w:val="00B02FAC"/>
    <w:rsid w:val="00B03E82"/>
    <w:rsid w:val="00B04347"/>
    <w:rsid w:val="00B0551E"/>
    <w:rsid w:val="00B058D3"/>
    <w:rsid w:val="00B114B7"/>
    <w:rsid w:val="00B1259A"/>
    <w:rsid w:val="00B14482"/>
    <w:rsid w:val="00B1626C"/>
    <w:rsid w:val="00B2097C"/>
    <w:rsid w:val="00B22EE6"/>
    <w:rsid w:val="00B231C9"/>
    <w:rsid w:val="00B2330A"/>
    <w:rsid w:val="00B24FD9"/>
    <w:rsid w:val="00B267BB"/>
    <w:rsid w:val="00B27338"/>
    <w:rsid w:val="00B30269"/>
    <w:rsid w:val="00B335BA"/>
    <w:rsid w:val="00B36057"/>
    <w:rsid w:val="00B361AA"/>
    <w:rsid w:val="00B36A5F"/>
    <w:rsid w:val="00B42553"/>
    <w:rsid w:val="00B45698"/>
    <w:rsid w:val="00B4665F"/>
    <w:rsid w:val="00B50EBE"/>
    <w:rsid w:val="00B53B62"/>
    <w:rsid w:val="00B55A39"/>
    <w:rsid w:val="00B55C8C"/>
    <w:rsid w:val="00B607B2"/>
    <w:rsid w:val="00B61498"/>
    <w:rsid w:val="00B61B0F"/>
    <w:rsid w:val="00B643ED"/>
    <w:rsid w:val="00B64762"/>
    <w:rsid w:val="00B6495E"/>
    <w:rsid w:val="00B67CE8"/>
    <w:rsid w:val="00B71460"/>
    <w:rsid w:val="00B71E52"/>
    <w:rsid w:val="00B73034"/>
    <w:rsid w:val="00B81476"/>
    <w:rsid w:val="00B83DEC"/>
    <w:rsid w:val="00B843E4"/>
    <w:rsid w:val="00B86B38"/>
    <w:rsid w:val="00B86E7F"/>
    <w:rsid w:val="00B9093B"/>
    <w:rsid w:val="00B91A7B"/>
    <w:rsid w:val="00B94017"/>
    <w:rsid w:val="00B95F81"/>
    <w:rsid w:val="00BA296F"/>
    <w:rsid w:val="00BA5DD0"/>
    <w:rsid w:val="00BB0E75"/>
    <w:rsid w:val="00BB305E"/>
    <w:rsid w:val="00BB34F1"/>
    <w:rsid w:val="00BB7DEE"/>
    <w:rsid w:val="00BC0B38"/>
    <w:rsid w:val="00BC43E4"/>
    <w:rsid w:val="00BD028D"/>
    <w:rsid w:val="00BD30F5"/>
    <w:rsid w:val="00BE0397"/>
    <w:rsid w:val="00BE11C2"/>
    <w:rsid w:val="00BE130E"/>
    <w:rsid w:val="00BE190B"/>
    <w:rsid w:val="00BE2052"/>
    <w:rsid w:val="00BE5F4B"/>
    <w:rsid w:val="00BF2B96"/>
    <w:rsid w:val="00BF6593"/>
    <w:rsid w:val="00BF7620"/>
    <w:rsid w:val="00C02061"/>
    <w:rsid w:val="00C02B49"/>
    <w:rsid w:val="00C02B92"/>
    <w:rsid w:val="00C03616"/>
    <w:rsid w:val="00C05B4A"/>
    <w:rsid w:val="00C07EA3"/>
    <w:rsid w:val="00C12305"/>
    <w:rsid w:val="00C15703"/>
    <w:rsid w:val="00C1683B"/>
    <w:rsid w:val="00C227B3"/>
    <w:rsid w:val="00C251ED"/>
    <w:rsid w:val="00C339E5"/>
    <w:rsid w:val="00C340FF"/>
    <w:rsid w:val="00C3496A"/>
    <w:rsid w:val="00C34F6A"/>
    <w:rsid w:val="00C35D39"/>
    <w:rsid w:val="00C404DB"/>
    <w:rsid w:val="00C41B67"/>
    <w:rsid w:val="00C4448A"/>
    <w:rsid w:val="00C45D4B"/>
    <w:rsid w:val="00C513F9"/>
    <w:rsid w:val="00C54ED3"/>
    <w:rsid w:val="00C5523D"/>
    <w:rsid w:val="00C56927"/>
    <w:rsid w:val="00C56A4B"/>
    <w:rsid w:val="00C56C84"/>
    <w:rsid w:val="00C629E0"/>
    <w:rsid w:val="00C65785"/>
    <w:rsid w:val="00C65EB9"/>
    <w:rsid w:val="00C661FD"/>
    <w:rsid w:val="00C7079E"/>
    <w:rsid w:val="00C71AF4"/>
    <w:rsid w:val="00C7696F"/>
    <w:rsid w:val="00C81390"/>
    <w:rsid w:val="00C82190"/>
    <w:rsid w:val="00C8268A"/>
    <w:rsid w:val="00C84D83"/>
    <w:rsid w:val="00C854A0"/>
    <w:rsid w:val="00C91C1B"/>
    <w:rsid w:val="00C9347D"/>
    <w:rsid w:val="00C94D56"/>
    <w:rsid w:val="00CA1B6B"/>
    <w:rsid w:val="00CA2473"/>
    <w:rsid w:val="00CA4DF5"/>
    <w:rsid w:val="00CA7901"/>
    <w:rsid w:val="00CB2B79"/>
    <w:rsid w:val="00CB33FC"/>
    <w:rsid w:val="00CC21AE"/>
    <w:rsid w:val="00CC4054"/>
    <w:rsid w:val="00CC4B55"/>
    <w:rsid w:val="00CD153B"/>
    <w:rsid w:val="00CD68FC"/>
    <w:rsid w:val="00CE248B"/>
    <w:rsid w:val="00CE3C38"/>
    <w:rsid w:val="00CE3EC1"/>
    <w:rsid w:val="00CE51AA"/>
    <w:rsid w:val="00CE70B4"/>
    <w:rsid w:val="00CF4796"/>
    <w:rsid w:val="00CF502D"/>
    <w:rsid w:val="00CF7DC1"/>
    <w:rsid w:val="00D01773"/>
    <w:rsid w:val="00D02A50"/>
    <w:rsid w:val="00D171CE"/>
    <w:rsid w:val="00D310AC"/>
    <w:rsid w:val="00D315A8"/>
    <w:rsid w:val="00D33B55"/>
    <w:rsid w:val="00D40EE9"/>
    <w:rsid w:val="00D43721"/>
    <w:rsid w:val="00D455F3"/>
    <w:rsid w:val="00D4573F"/>
    <w:rsid w:val="00D46109"/>
    <w:rsid w:val="00D53691"/>
    <w:rsid w:val="00D550C8"/>
    <w:rsid w:val="00D55651"/>
    <w:rsid w:val="00D57D33"/>
    <w:rsid w:val="00D6080D"/>
    <w:rsid w:val="00D63FB9"/>
    <w:rsid w:val="00D645EE"/>
    <w:rsid w:val="00D65139"/>
    <w:rsid w:val="00D671A5"/>
    <w:rsid w:val="00D7082C"/>
    <w:rsid w:val="00D70B50"/>
    <w:rsid w:val="00D7636A"/>
    <w:rsid w:val="00D76A1F"/>
    <w:rsid w:val="00D900F2"/>
    <w:rsid w:val="00D956EA"/>
    <w:rsid w:val="00DA0774"/>
    <w:rsid w:val="00DA3C67"/>
    <w:rsid w:val="00DA3FF5"/>
    <w:rsid w:val="00DA415A"/>
    <w:rsid w:val="00DA7C66"/>
    <w:rsid w:val="00DB202F"/>
    <w:rsid w:val="00DB5E78"/>
    <w:rsid w:val="00DB68F6"/>
    <w:rsid w:val="00DC3F3E"/>
    <w:rsid w:val="00DC4DAB"/>
    <w:rsid w:val="00DC6DC0"/>
    <w:rsid w:val="00DD1D76"/>
    <w:rsid w:val="00DD332C"/>
    <w:rsid w:val="00DD5588"/>
    <w:rsid w:val="00DD6338"/>
    <w:rsid w:val="00DE221C"/>
    <w:rsid w:val="00DE66DB"/>
    <w:rsid w:val="00DE6A38"/>
    <w:rsid w:val="00DE7B44"/>
    <w:rsid w:val="00DF2344"/>
    <w:rsid w:val="00DF3842"/>
    <w:rsid w:val="00E00484"/>
    <w:rsid w:val="00E006CF"/>
    <w:rsid w:val="00E01DB0"/>
    <w:rsid w:val="00E02C5C"/>
    <w:rsid w:val="00E0586F"/>
    <w:rsid w:val="00E06074"/>
    <w:rsid w:val="00E06525"/>
    <w:rsid w:val="00E06C4F"/>
    <w:rsid w:val="00E12B85"/>
    <w:rsid w:val="00E20E69"/>
    <w:rsid w:val="00E3043C"/>
    <w:rsid w:val="00E329F7"/>
    <w:rsid w:val="00E358E5"/>
    <w:rsid w:val="00E361CF"/>
    <w:rsid w:val="00E37E3D"/>
    <w:rsid w:val="00E41E55"/>
    <w:rsid w:val="00E424E0"/>
    <w:rsid w:val="00E503B0"/>
    <w:rsid w:val="00E52C24"/>
    <w:rsid w:val="00E565B8"/>
    <w:rsid w:val="00E57581"/>
    <w:rsid w:val="00E60EF2"/>
    <w:rsid w:val="00E612E0"/>
    <w:rsid w:val="00E61E24"/>
    <w:rsid w:val="00E64C3F"/>
    <w:rsid w:val="00E64E85"/>
    <w:rsid w:val="00E64FDB"/>
    <w:rsid w:val="00E70347"/>
    <w:rsid w:val="00E72D5F"/>
    <w:rsid w:val="00E81D8E"/>
    <w:rsid w:val="00E84A63"/>
    <w:rsid w:val="00E87B21"/>
    <w:rsid w:val="00E87F57"/>
    <w:rsid w:val="00EA281A"/>
    <w:rsid w:val="00EA5A2B"/>
    <w:rsid w:val="00EA78EB"/>
    <w:rsid w:val="00EB0053"/>
    <w:rsid w:val="00EB6FAF"/>
    <w:rsid w:val="00EB735C"/>
    <w:rsid w:val="00EC1514"/>
    <w:rsid w:val="00EC6E50"/>
    <w:rsid w:val="00EC7891"/>
    <w:rsid w:val="00ED095C"/>
    <w:rsid w:val="00ED5979"/>
    <w:rsid w:val="00ED631A"/>
    <w:rsid w:val="00EE0189"/>
    <w:rsid w:val="00EE12CE"/>
    <w:rsid w:val="00EE68F8"/>
    <w:rsid w:val="00EE702A"/>
    <w:rsid w:val="00EF32BB"/>
    <w:rsid w:val="00EF52FA"/>
    <w:rsid w:val="00F0263F"/>
    <w:rsid w:val="00F02AFD"/>
    <w:rsid w:val="00F03B1B"/>
    <w:rsid w:val="00F06E42"/>
    <w:rsid w:val="00F10A60"/>
    <w:rsid w:val="00F1119F"/>
    <w:rsid w:val="00F155EA"/>
    <w:rsid w:val="00F155FE"/>
    <w:rsid w:val="00F15C5F"/>
    <w:rsid w:val="00F22638"/>
    <w:rsid w:val="00F23297"/>
    <w:rsid w:val="00F243AD"/>
    <w:rsid w:val="00F267D8"/>
    <w:rsid w:val="00F270C9"/>
    <w:rsid w:val="00F3113C"/>
    <w:rsid w:val="00F321A1"/>
    <w:rsid w:val="00F3241D"/>
    <w:rsid w:val="00F32C2C"/>
    <w:rsid w:val="00F36480"/>
    <w:rsid w:val="00F4219B"/>
    <w:rsid w:val="00F50913"/>
    <w:rsid w:val="00F54BD7"/>
    <w:rsid w:val="00F55B6F"/>
    <w:rsid w:val="00F55F6B"/>
    <w:rsid w:val="00F573EB"/>
    <w:rsid w:val="00F60D2D"/>
    <w:rsid w:val="00F62208"/>
    <w:rsid w:val="00F63DCB"/>
    <w:rsid w:val="00F7764B"/>
    <w:rsid w:val="00F82E6B"/>
    <w:rsid w:val="00F83C37"/>
    <w:rsid w:val="00F919F9"/>
    <w:rsid w:val="00FA3DB8"/>
    <w:rsid w:val="00FB13A8"/>
    <w:rsid w:val="00FB255B"/>
    <w:rsid w:val="00FB414C"/>
    <w:rsid w:val="00FB43FC"/>
    <w:rsid w:val="00FB4B66"/>
    <w:rsid w:val="00FD29AF"/>
    <w:rsid w:val="00FD3EF6"/>
    <w:rsid w:val="00FD746C"/>
    <w:rsid w:val="00FF0BB0"/>
    <w:rsid w:val="00FF292A"/>
    <w:rsid w:val="00FF309B"/>
    <w:rsid w:val="00FF36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79C0"/>
  <w15:chartTrackingRefBased/>
  <w15:docId w15:val="{6A1047F5-BCFE-4A48-9601-24FD13A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C0"/>
    <w:pPr>
      <w:spacing w:line="256" w:lineRule="auto"/>
    </w:pPr>
  </w:style>
  <w:style w:type="paragraph" w:styleId="Ttulo1">
    <w:name w:val="heading 1"/>
    <w:basedOn w:val="Normal"/>
    <w:next w:val="Normal"/>
    <w:link w:val="Ttulo1Car"/>
    <w:uiPriority w:val="9"/>
    <w:qFormat/>
    <w:rsid w:val="00B91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Footnote Car,Párrafo de lista1 Car,Colorful List - Accent 11 Car,List Paragraph1 Car,Cuadrícula clara - Énfasis 31 Car,List Paragraph2 Car,Lista vistosa - Énfasis 11 Car,Lista clara - Énfasis 51 Car"/>
    <w:basedOn w:val="Fuentedeprrafopredeter"/>
    <w:link w:val="Prrafodelista"/>
    <w:locked/>
    <w:rsid w:val="0003546F"/>
    <w:rPr>
      <w:rFonts w:ascii="Calibri" w:hAnsi="Calibri" w:cs="Calibri"/>
    </w:rPr>
  </w:style>
  <w:style w:type="paragraph" w:styleId="Prrafodelista">
    <w:name w:val="List Paragraph"/>
    <w:aliases w:val="Footnote,Párrafo de lista1,Colorful List - Accent 11,List Paragraph1,Cuadrícula clara - Énfasis 31,List Paragraph2,Lista vistosa - Énfasis 11,Lista clara - Énfasis 51"/>
    <w:basedOn w:val="Normal"/>
    <w:link w:val="PrrafodelistaCar"/>
    <w:qFormat/>
    <w:rsid w:val="0003546F"/>
    <w:pPr>
      <w:spacing w:after="0" w:line="240" w:lineRule="auto"/>
      <w:ind w:left="720"/>
    </w:pPr>
    <w:rPr>
      <w:rFonts w:ascii="Calibri" w:hAnsi="Calibri" w:cs="Calibri"/>
    </w:rPr>
  </w:style>
  <w:style w:type="character" w:styleId="Hipervnculo">
    <w:name w:val="Hyperlink"/>
    <w:basedOn w:val="Fuentedeprrafopredeter"/>
    <w:uiPriority w:val="99"/>
    <w:unhideWhenUsed/>
    <w:rsid w:val="005E2586"/>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qFormat/>
    <w:locked/>
    <w:rsid w:val="005E258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unhideWhenUsed/>
    <w:qFormat/>
    <w:rsid w:val="005E2586"/>
    <w:pPr>
      <w:spacing w:after="0" w:line="240" w:lineRule="auto"/>
    </w:pPr>
    <w:rPr>
      <w:sz w:val="20"/>
      <w:szCs w:val="20"/>
    </w:rPr>
  </w:style>
  <w:style w:type="character" w:customStyle="1" w:styleId="TextonotapieCar1">
    <w:name w:val="Texto nota pie Car1"/>
    <w:basedOn w:val="Fuentedeprrafopredeter"/>
    <w:uiPriority w:val="99"/>
    <w:semiHidden/>
    <w:rsid w:val="005E2586"/>
    <w:rPr>
      <w:sz w:val="20"/>
      <w:szCs w:val="20"/>
    </w:rPr>
  </w:style>
  <w:style w:type="character" w:styleId="Refdenotaalpie">
    <w:name w:val="footnote reference"/>
    <w:aliases w:val="Texto de nota al pie,Footnotes refss,Appel note de bas de page,Footnote number,referencia nota al pie,BVI fnr,f,4_G,16 Point,Superscript 6 Point,Footnote Reference Char3,Footnote Reference Char1 Char,Footnote Reference Char Char Char"/>
    <w:basedOn w:val="Fuentedeprrafopredeter"/>
    <w:link w:val="4GChar"/>
    <w:uiPriority w:val="99"/>
    <w:unhideWhenUsed/>
    <w:qFormat/>
    <w:rsid w:val="005E25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E2586"/>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1942C8"/>
    <w:rPr>
      <w:color w:val="605E5C"/>
      <w:shd w:val="clear" w:color="auto" w:fill="E1DFDD"/>
    </w:rPr>
  </w:style>
  <w:style w:type="character" w:styleId="Refdecomentario">
    <w:name w:val="annotation reference"/>
    <w:basedOn w:val="Fuentedeprrafopredeter"/>
    <w:uiPriority w:val="99"/>
    <w:semiHidden/>
    <w:unhideWhenUsed/>
    <w:rsid w:val="00331F7C"/>
    <w:rPr>
      <w:sz w:val="16"/>
      <w:szCs w:val="16"/>
    </w:rPr>
  </w:style>
  <w:style w:type="paragraph" w:styleId="Textocomentario">
    <w:name w:val="annotation text"/>
    <w:basedOn w:val="Normal"/>
    <w:link w:val="TextocomentarioCar"/>
    <w:uiPriority w:val="99"/>
    <w:semiHidden/>
    <w:unhideWhenUsed/>
    <w:rsid w:val="00331F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1F7C"/>
    <w:rPr>
      <w:sz w:val="20"/>
      <w:szCs w:val="20"/>
    </w:rPr>
  </w:style>
  <w:style w:type="paragraph" w:styleId="Asuntodelcomentario">
    <w:name w:val="annotation subject"/>
    <w:basedOn w:val="Textocomentario"/>
    <w:next w:val="Textocomentario"/>
    <w:link w:val="AsuntodelcomentarioCar"/>
    <w:uiPriority w:val="99"/>
    <w:semiHidden/>
    <w:unhideWhenUsed/>
    <w:rsid w:val="00331F7C"/>
    <w:rPr>
      <w:b/>
      <w:bCs/>
    </w:rPr>
  </w:style>
  <w:style w:type="character" w:customStyle="1" w:styleId="AsuntodelcomentarioCar">
    <w:name w:val="Asunto del comentario Car"/>
    <w:basedOn w:val="TextocomentarioCar"/>
    <w:link w:val="Asuntodelcomentario"/>
    <w:uiPriority w:val="99"/>
    <w:semiHidden/>
    <w:rsid w:val="00331F7C"/>
    <w:rPr>
      <w:b/>
      <w:bCs/>
      <w:sz w:val="20"/>
      <w:szCs w:val="20"/>
    </w:rPr>
  </w:style>
  <w:style w:type="character" w:customStyle="1" w:styleId="Ttulo1Car">
    <w:name w:val="Título 1 Car"/>
    <w:basedOn w:val="Fuentedeprrafopredeter"/>
    <w:link w:val="Ttulo1"/>
    <w:uiPriority w:val="9"/>
    <w:rsid w:val="00B91A7B"/>
    <w:rPr>
      <w:rFonts w:asciiTheme="majorHAnsi" w:eastAsiaTheme="majorEastAsia" w:hAnsiTheme="majorHAnsi" w:cstheme="majorBidi"/>
      <w:color w:val="2F5496" w:themeColor="accent1" w:themeShade="BF"/>
      <w:sz w:val="32"/>
      <w:szCs w:val="32"/>
    </w:rPr>
  </w:style>
  <w:style w:type="paragraph" w:styleId="Continuarlista">
    <w:name w:val="List Continue"/>
    <w:basedOn w:val="Normal"/>
    <w:uiPriority w:val="99"/>
    <w:unhideWhenUsed/>
    <w:rsid w:val="00B91A7B"/>
    <w:pPr>
      <w:spacing w:after="120"/>
      <w:ind w:left="283"/>
      <w:contextualSpacing/>
    </w:pPr>
  </w:style>
  <w:style w:type="paragraph" w:styleId="Ttulo">
    <w:name w:val="Title"/>
    <w:basedOn w:val="Normal"/>
    <w:next w:val="Normal"/>
    <w:link w:val="TtuloCar"/>
    <w:uiPriority w:val="10"/>
    <w:qFormat/>
    <w:rsid w:val="00B91A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1A7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B91A7B"/>
    <w:pPr>
      <w:spacing w:after="120"/>
    </w:pPr>
  </w:style>
  <w:style w:type="character" w:customStyle="1" w:styleId="TextoindependienteCar">
    <w:name w:val="Texto independiente Car"/>
    <w:basedOn w:val="Fuentedeprrafopredeter"/>
    <w:link w:val="Textoindependiente"/>
    <w:uiPriority w:val="99"/>
    <w:rsid w:val="00B91A7B"/>
  </w:style>
  <w:style w:type="paragraph" w:styleId="Subttulo">
    <w:name w:val="Subtitle"/>
    <w:basedOn w:val="Normal"/>
    <w:next w:val="Normal"/>
    <w:link w:val="SubttuloCar"/>
    <w:uiPriority w:val="11"/>
    <w:qFormat/>
    <w:rsid w:val="00B91A7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91A7B"/>
    <w:rPr>
      <w:rFonts w:eastAsiaTheme="minorEastAsia"/>
      <w:color w:val="5A5A5A" w:themeColor="text1" w:themeTint="A5"/>
      <w:spacing w:val="15"/>
    </w:rPr>
  </w:style>
  <w:style w:type="character" w:styleId="Hipervnculovisitado">
    <w:name w:val="FollowedHyperlink"/>
    <w:basedOn w:val="Fuentedeprrafopredeter"/>
    <w:uiPriority w:val="99"/>
    <w:semiHidden/>
    <w:unhideWhenUsed/>
    <w:rsid w:val="000618D3"/>
    <w:rPr>
      <w:color w:val="954F72" w:themeColor="followedHyperlink"/>
      <w:u w:val="single"/>
    </w:rPr>
  </w:style>
  <w:style w:type="paragraph" w:styleId="Encabezado">
    <w:name w:val="header"/>
    <w:aliases w:val="encabezado"/>
    <w:basedOn w:val="Normal"/>
    <w:link w:val="EncabezadoCar"/>
    <w:uiPriority w:val="99"/>
    <w:unhideWhenUsed/>
    <w:rsid w:val="00A85AE9"/>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A85AE9"/>
  </w:style>
  <w:style w:type="paragraph" w:styleId="Piedepgina">
    <w:name w:val="footer"/>
    <w:basedOn w:val="Normal"/>
    <w:link w:val="PiedepginaCar"/>
    <w:uiPriority w:val="99"/>
    <w:unhideWhenUsed/>
    <w:rsid w:val="00A85A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AE9"/>
  </w:style>
  <w:style w:type="character" w:styleId="Nmerodelnea">
    <w:name w:val="line number"/>
    <w:basedOn w:val="Fuentedeprrafopredeter"/>
    <w:uiPriority w:val="99"/>
    <w:semiHidden/>
    <w:unhideWhenUsed/>
    <w:rsid w:val="00146BAC"/>
  </w:style>
  <w:style w:type="character" w:styleId="Textoennegrita">
    <w:name w:val="Strong"/>
    <w:aliases w:val="Heading 2.1"/>
    <w:uiPriority w:val="22"/>
    <w:qFormat/>
    <w:rsid w:val="0068667B"/>
    <w:rPr>
      <w:b/>
      <w:bCs/>
    </w:rPr>
  </w:style>
  <w:style w:type="paragraph" w:styleId="Textoindependiente2">
    <w:name w:val="Body Text 2"/>
    <w:basedOn w:val="Normal"/>
    <w:link w:val="Textoindependiente2Car"/>
    <w:uiPriority w:val="99"/>
    <w:semiHidden/>
    <w:unhideWhenUsed/>
    <w:rsid w:val="009E49E0"/>
    <w:pPr>
      <w:spacing w:after="120" w:line="480" w:lineRule="auto"/>
    </w:pPr>
  </w:style>
  <w:style w:type="character" w:customStyle="1" w:styleId="Textoindependiente2Car">
    <w:name w:val="Texto independiente 2 Car"/>
    <w:basedOn w:val="Fuentedeprrafopredeter"/>
    <w:link w:val="Textoindependiente2"/>
    <w:uiPriority w:val="99"/>
    <w:semiHidden/>
    <w:rsid w:val="009E49E0"/>
  </w:style>
  <w:style w:type="paragraph" w:customStyle="1" w:styleId="cuerpo">
    <w:name w:val="cuerpo"/>
    <w:basedOn w:val="Normal"/>
    <w:rsid w:val="00337D2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style-override-1">
    <w:name w:val="no-style-override-1"/>
    <w:basedOn w:val="Fuentedeprrafopredeter"/>
    <w:rsid w:val="00337D20"/>
  </w:style>
  <w:style w:type="character" w:customStyle="1" w:styleId="no-style-override">
    <w:name w:val="no-style-override"/>
    <w:basedOn w:val="Fuentedeprrafopredeter"/>
    <w:rsid w:val="00337D20"/>
  </w:style>
  <w:style w:type="paragraph" w:styleId="Revisin">
    <w:name w:val="Revision"/>
    <w:hidden/>
    <w:uiPriority w:val="99"/>
    <w:semiHidden/>
    <w:rsid w:val="004274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6988">
      <w:bodyDiv w:val="1"/>
      <w:marLeft w:val="0"/>
      <w:marRight w:val="0"/>
      <w:marTop w:val="0"/>
      <w:marBottom w:val="0"/>
      <w:divBdr>
        <w:top w:val="none" w:sz="0" w:space="0" w:color="auto"/>
        <w:left w:val="none" w:sz="0" w:space="0" w:color="auto"/>
        <w:bottom w:val="none" w:sz="0" w:space="0" w:color="auto"/>
        <w:right w:val="none" w:sz="0" w:space="0" w:color="auto"/>
      </w:divBdr>
    </w:div>
    <w:div w:id="107965885">
      <w:bodyDiv w:val="1"/>
      <w:marLeft w:val="0"/>
      <w:marRight w:val="0"/>
      <w:marTop w:val="0"/>
      <w:marBottom w:val="0"/>
      <w:divBdr>
        <w:top w:val="none" w:sz="0" w:space="0" w:color="auto"/>
        <w:left w:val="none" w:sz="0" w:space="0" w:color="auto"/>
        <w:bottom w:val="none" w:sz="0" w:space="0" w:color="auto"/>
        <w:right w:val="none" w:sz="0" w:space="0" w:color="auto"/>
      </w:divBdr>
    </w:div>
    <w:div w:id="844593780">
      <w:bodyDiv w:val="1"/>
      <w:marLeft w:val="0"/>
      <w:marRight w:val="0"/>
      <w:marTop w:val="0"/>
      <w:marBottom w:val="0"/>
      <w:divBdr>
        <w:top w:val="none" w:sz="0" w:space="0" w:color="auto"/>
        <w:left w:val="none" w:sz="0" w:space="0" w:color="auto"/>
        <w:bottom w:val="none" w:sz="0" w:space="0" w:color="auto"/>
        <w:right w:val="none" w:sz="0" w:space="0" w:color="auto"/>
      </w:divBdr>
    </w:div>
    <w:div w:id="892473372">
      <w:bodyDiv w:val="1"/>
      <w:marLeft w:val="0"/>
      <w:marRight w:val="0"/>
      <w:marTop w:val="0"/>
      <w:marBottom w:val="0"/>
      <w:divBdr>
        <w:top w:val="none" w:sz="0" w:space="0" w:color="auto"/>
        <w:left w:val="none" w:sz="0" w:space="0" w:color="auto"/>
        <w:bottom w:val="none" w:sz="0" w:space="0" w:color="auto"/>
        <w:right w:val="none" w:sz="0" w:space="0" w:color="auto"/>
      </w:divBdr>
    </w:div>
    <w:div w:id="954286835">
      <w:bodyDiv w:val="1"/>
      <w:marLeft w:val="0"/>
      <w:marRight w:val="0"/>
      <w:marTop w:val="0"/>
      <w:marBottom w:val="0"/>
      <w:divBdr>
        <w:top w:val="none" w:sz="0" w:space="0" w:color="auto"/>
        <w:left w:val="none" w:sz="0" w:space="0" w:color="auto"/>
        <w:bottom w:val="none" w:sz="0" w:space="0" w:color="auto"/>
        <w:right w:val="none" w:sz="0" w:space="0" w:color="auto"/>
      </w:divBdr>
    </w:div>
    <w:div w:id="1191141336">
      <w:bodyDiv w:val="1"/>
      <w:marLeft w:val="0"/>
      <w:marRight w:val="0"/>
      <w:marTop w:val="0"/>
      <w:marBottom w:val="0"/>
      <w:divBdr>
        <w:top w:val="none" w:sz="0" w:space="0" w:color="auto"/>
        <w:left w:val="none" w:sz="0" w:space="0" w:color="auto"/>
        <w:bottom w:val="none" w:sz="0" w:space="0" w:color="auto"/>
        <w:right w:val="none" w:sz="0" w:space="0" w:color="auto"/>
      </w:divBdr>
    </w:div>
    <w:div w:id="1321301740">
      <w:bodyDiv w:val="1"/>
      <w:marLeft w:val="0"/>
      <w:marRight w:val="0"/>
      <w:marTop w:val="0"/>
      <w:marBottom w:val="0"/>
      <w:divBdr>
        <w:top w:val="none" w:sz="0" w:space="0" w:color="auto"/>
        <w:left w:val="none" w:sz="0" w:space="0" w:color="auto"/>
        <w:bottom w:val="none" w:sz="0" w:space="0" w:color="auto"/>
        <w:right w:val="none" w:sz="0" w:space="0" w:color="auto"/>
      </w:divBdr>
    </w:div>
    <w:div w:id="1481342720">
      <w:bodyDiv w:val="1"/>
      <w:marLeft w:val="0"/>
      <w:marRight w:val="0"/>
      <w:marTop w:val="0"/>
      <w:marBottom w:val="0"/>
      <w:divBdr>
        <w:top w:val="none" w:sz="0" w:space="0" w:color="auto"/>
        <w:left w:val="none" w:sz="0" w:space="0" w:color="auto"/>
        <w:bottom w:val="none" w:sz="0" w:space="0" w:color="auto"/>
        <w:right w:val="none" w:sz="0" w:space="0" w:color="auto"/>
      </w:divBdr>
    </w:div>
    <w:div w:id="1771125375">
      <w:bodyDiv w:val="1"/>
      <w:marLeft w:val="0"/>
      <w:marRight w:val="0"/>
      <w:marTop w:val="0"/>
      <w:marBottom w:val="0"/>
      <w:divBdr>
        <w:top w:val="none" w:sz="0" w:space="0" w:color="auto"/>
        <w:left w:val="none" w:sz="0" w:space="0" w:color="auto"/>
        <w:bottom w:val="none" w:sz="0" w:space="0" w:color="auto"/>
        <w:right w:val="none" w:sz="0" w:space="0" w:color="auto"/>
      </w:divBdr>
    </w:div>
    <w:div w:id="20321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injus.gob.pe/wp-content/uploads/2014/08/Ley-N%C2%B0-30137.pdf" TargetMode="External"/><Relationship Id="rId3" Type="http://schemas.openxmlformats.org/officeDocument/2006/relationships/hyperlink" Target="https://www.corteidh.or.cr/docs/casos/articulos/seriec_297_esp.pdf" TargetMode="External"/><Relationship Id="rId7" Type="http://schemas.openxmlformats.org/officeDocument/2006/relationships/hyperlink" Target="https://www.corteidh.or.cr/supervision_de_cumplimiento.cfm" TargetMode="External"/><Relationship Id="rId2" Type="http://schemas.openxmlformats.org/officeDocument/2006/relationships/hyperlink" Target="https://www.corteidh.or.cr/docs/casos/articulos/seriec_296_esp.pdf" TargetMode="External"/><Relationship Id="rId1" Type="http://schemas.openxmlformats.org/officeDocument/2006/relationships/hyperlink" Target="https://www.corteidh.or.cr/docs/casos/articulos/seriec_286_esp.pdf" TargetMode="External"/><Relationship Id="rId6" Type="http://schemas.openxmlformats.org/officeDocument/2006/relationships/hyperlink" Target="https://www.corteidh.or.cr/casos_sentencias.cfm" TargetMode="External"/><Relationship Id="rId5" Type="http://schemas.openxmlformats.org/officeDocument/2006/relationships/hyperlink" Target="https://www.corteidh.or.cr/docs/casos/articulos/seriec_340_esp.pdf" TargetMode="External"/><Relationship Id="rId4" Type="http://schemas.openxmlformats.org/officeDocument/2006/relationships/hyperlink" Target="https://www.corteidh.or.cr/docs/casos/articulos/seriec_331_esp.pdf" TargetMode="External"/><Relationship Id="rId9" Type="http://schemas.openxmlformats.org/officeDocument/2006/relationships/hyperlink" Target="https://busquedas.elperuano.pe/download/url/decreto-supremo-que-aprueba-el-reglamento-de-la-ley-n-30137-decreto-supremo-no-003-2020-jus-186528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CFF9-FD53-487C-AC0F-C43F5E21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3754</Words>
  <Characters>20652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3</cp:revision>
  <cp:lastPrinted>2022-04-29T21:55:00Z</cp:lastPrinted>
  <dcterms:created xsi:type="dcterms:W3CDTF">2022-04-29T21:55:00Z</dcterms:created>
  <dcterms:modified xsi:type="dcterms:W3CDTF">2022-04-29T21:55:00Z</dcterms:modified>
</cp:coreProperties>
</file>