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4277" w14:textId="77777777" w:rsidR="00AC68B6" w:rsidRDefault="00AC68B6" w:rsidP="003C06A9">
      <w:pPr>
        <w:spacing w:after="0" w:line="240" w:lineRule="auto"/>
        <w:jc w:val="center"/>
        <w:rPr>
          <w:rFonts w:ascii="Verdana" w:hAnsi="Verdana"/>
          <w:b/>
          <w:sz w:val="20"/>
          <w:szCs w:val="20"/>
          <w:lang w:val="es-ES_tradnl"/>
        </w:rPr>
      </w:pPr>
      <w:bookmarkStart w:id="0" w:name="_GoBack"/>
      <w:bookmarkEnd w:id="0"/>
    </w:p>
    <w:p w14:paraId="168A86AE" w14:textId="77777777" w:rsidR="00AC68B6" w:rsidRDefault="00AC68B6" w:rsidP="003C06A9">
      <w:pPr>
        <w:spacing w:after="0" w:line="240" w:lineRule="auto"/>
        <w:jc w:val="center"/>
        <w:rPr>
          <w:rFonts w:ascii="Verdana" w:hAnsi="Verdana"/>
          <w:b/>
          <w:sz w:val="20"/>
          <w:szCs w:val="20"/>
          <w:lang w:val="es-ES_tradnl"/>
        </w:rPr>
      </w:pPr>
    </w:p>
    <w:p w14:paraId="5B5D8492" w14:textId="77777777" w:rsidR="00AC68B6" w:rsidRDefault="00AC68B6" w:rsidP="003C06A9">
      <w:pPr>
        <w:spacing w:after="0" w:line="240" w:lineRule="auto"/>
        <w:jc w:val="center"/>
        <w:rPr>
          <w:rFonts w:ascii="Verdana" w:hAnsi="Verdana"/>
          <w:b/>
          <w:sz w:val="20"/>
          <w:szCs w:val="20"/>
          <w:lang w:val="es-ES_tradnl"/>
        </w:rPr>
      </w:pPr>
    </w:p>
    <w:p w14:paraId="2DB3BA32" w14:textId="77777777" w:rsidR="00AC68B6" w:rsidRDefault="00AC68B6" w:rsidP="003C06A9">
      <w:pPr>
        <w:spacing w:after="0" w:line="240" w:lineRule="auto"/>
        <w:jc w:val="center"/>
        <w:rPr>
          <w:rFonts w:ascii="Verdana" w:hAnsi="Verdana"/>
          <w:b/>
          <w:sz w:val="20"/>
          <w:szCs w:val="20"/>
          <w:lang w:val="es-ES_tradnl"/>
        </w:rPr>
      </w:pPr>
    </w:p>
    <w:p w14:paraId="62FACBE1" w14:textId="77777777" w:rsidR="00AC68B6" w:rsidRDefault="00AC68B6" w:rsidP="003C06A9">
      <w:pPr>
        <w:spacing w:after="0" w:line="240" w:lineRule="auto"/>
        <w:jc w:val="center"/>
        <w:rPr>
          <w:rFonts w:ascii="Verdana" w:hAnsi="Verdana"/>
          <w:b/>
          <w:sz w:val="20"/>
          <w:szCs w:val="20"/>
          <w:lang w:val="es-ES_tradnl"/>
        </w:rPr>
      </w:pPr>
    </w:p>
    <w:p w14:paraId="4A6C6E06" w14:textId="77777777" w:rsidR="006A7E49" w:rsidRDefault="006A7E49" w:rsidP="003C06A9">
      <w:pPr>
        <w:spacing w:after="0" w:line="240" w:lineRule="auto"/>
        <w:jc w:val="center"/>
        <w:rPr>
          <w:rFonts w:ascii="Verdana" w:hAnsi="Verdana"/>
          <w:b/>
          <w:sz w:val="20"/>
          <w:szCs w:val="20"/>
          <w:lang w:val="es-ES_tradnl"/>
        </w:rPr>
      </w:pPr>
    </w:p>
    <w:p w14:paraId="3CC5BC9D" w14:textId="77777777" w:rsidR="00AC68B6" w:rsidRPr="004009D6" w:rsidRDefault="00AC68B6" w:rsidP="003C06A9">
      <w:pPr>
        <w:tabs>
          <w:tab w:val="left" w:pos="709"/>
        </w:tabs>
        <w:spacing w:after="0"/>
        <w:jc w:val="center"/>
        <w:rPr>
          <w:rFonts w:ascii="Verdana" w:hAnsi="Verdana"/>
          <w:b/>
          <w:sz w:val="20"/>
          <w:szCs w:val="20"/>
        </w:rPr>
      </w:pPr>
      <w:r w:rsidRPr="004009D6">
        <w:rPr>
          <w:rFonts w:ascii="Verdana" w:hAnsi="Verdana"/>
          <w:b/>
          <w:sz w:val="20"/>
          <w:szCs w:val="20"/>
        </w:rPr>
        <w:t xml:space="preserve">VOTO </w:t>
      </w:r>
      <w:r>
        <w:rPr>
          <w:rFonts w:ascii="Verdana" w:hAnsi="Verdana"/>
          <w:b/>
          <w:sz w:val="20"/>
          <w:szCs w:val="20"/>
        </w:rPr>
        <w:t xml:space="preserve">CONCURRENTE </w:t>
      </w:r>
      <w:r w:rsidRPr="004009D6">
        <w:rPr>
          <w:rFonts w:ascii="Verdana" w:hAnsi="Verdana"/>
          <w:b/>
          <w:sz w:val="20"/>
          <w:szCs w:val="20"/>
        </w:rPr>
        <w:t xml:space="preserve">DEL </w:t>
      </w:r>
    </w:p>
    <w:p w14:paraId="08E1A41C" w14:textId="77777777" w:rsidR="00AC68B6" w:rsidRPr="00B02FB4" w:rsidRDefault="00AC68B6" w:rsidP="003C06A9">
      <w:pPr>
        <w:tabs>
          <w:tab w:val="left" w:pos="709"/>
        </w:tabs>
        <w:spacing w:after="0"/>
        <w:jc w:val="center"/>
        <w:rPr>
          <w:rFonts w:ascii="Verdana" w:hAnsi="Verdana"/>
          <w:b/>
          <w:sz w:val="20"/>
          <w:szCs w:val="20"/>
        </w:rPr>
      </w:pPr>
      <w:r w:rsidRPr="004009D6">
        <w:rPr>
          <w:rFonts w:ascii="Verdana" w:hAnsi="Verdana"/>
          <w:b/>
          <w:sz w:val="20"/>
          <w:szCs w:val="20"/>
        </w:rPr>
        <w:t>JUEZ HUMBERTO ANTONIO SIERRA PORTO</w:t>
      </w:r>
    </w:p>
    <w:p w14:paraId="53618E2D" w14:textId="77777777" w:rsidR="00AC68B6" w:rsidRDefault="00AC68B6" w:rsidP="003C06A9">
      <w:pPr>
        <w:spacing w:after="0"/>
        <w:jc w:val="center"/>
        <w:rPr>
          <w:rFonts w:ascii="Verdana" w:hAnsi="Verdana"/>
          <w:b/>
          <w:sz w:val="20"/>
          <w:szCs w:val="20"/>
          <w:lang w:val="es-ES_tradnl"/>
        </w:rPr>
      </w:pPr>
    </w:p>
    <w:p w14:paraId="6098438A" w14:textId="77777777" w:rsidR="00AC68B6" w:rsidRDefault="00AC68B6" w:rsidP="003C06A9">
      <w:pPr>
        <w:spacing w:after="0"/>
        <w:jc w:val="center"/>
        <w:rPr>
          <w:rFonts w:ascii="Verdana" w:hAnsi="Verdana"/>
          <w:b/>
          <w:sz w:val="20"/>
        </w:rPr>
      </w:pPr>
      <w:r>
        <w:rPr>
          <w:rFonts w:ascii="Verdana" w:hAnsi="Verdana"/>
          <w:b/>
          <w:sz w:val="20"/>
        </w:rPr>
        <w:t xml:space="preserve">A LA RESOLUCIÓN DE MEDIDAS PROVISIONALES Y SUPERVISIÓN DE CUMPLIMIENTO DE SENTENCIA DE 14 DE OCTUBRE DE 2019 </w:t>
      </w:r>
    </w:p>
    <w:p w14:paraId="4C63F440" w14:textId="77777777" w:rsidR="00AC68B6" w:rsidRDefault="00AC68B6" w:rsidP="003C06A9">
      <w:pPr>
        <w:spacing w:after="0"/>
        <w:jc w:val="center"/>
        <w:rPr>
          <w:rFonts w:ascii="Verdana" w:hAnsi="Verdana"/>
          <w:b/>
          <w:sz w:val="20"/>
        </w:rPr>
      </w:pPr>
      <w:r>
        <w:rPr>
          <w:rFonts w:ascii="Verdana" w:hAnsi="Verdana"/>
          <w:b/>
          <w:sz w:val="20"/>
        </w:rPr>
        <w:t>DE LA CORTE INTERAMERICANA DE DERECHOS HUMANOS</w:t>
      </w:r>
    </w:p>
    <w:p w14:paraId="319E2367" w14:textId="77777777" w:rsidR="00AC68B6" w:rsidRDefault="00AC68B6" w:rsidP="003C06A9">
      <w:pPr>
        <w:spacing w:after="0"/>
        <w:jc w:val="center"/>
        <w:rPr>
          <w:rFonts w:ascii="Verdana" w:hAnsi="Verdana"/>
          <w:b/>
          <w:sz w:val="20"/>
        </w:rPr>
      </w:pPr>
    </w:p>
    <w:p w14:paraId="1AC0EC54" w14:textId="77777777" w:rsidR="00AC68B6" w:rsidRPr="00F4474D" w:rsidRDefault="00AC68B6" w:rsidP="003C06A9">
      <w:pPr>
        <w:spacing w:after="0"/>
        <w:jc w:val="center"/>
        <w:rPr>
          <w:rFonts w:ascii="Verdana" w:hAnsi="Verdana"/>
          <w:b/>
          <w:sz w:val="20"/>
        </w:rPr>
      </w:pPr>
      <w:r w:rsidRPr="00F4474D">
        <w:rPr>
          <w:rFonts w:ascii="Verdana" w:hAnsi="Verdana"/>
          <w:b/>
          <w:sz w:val="20"/>
        </w:rPr>
        <w:t>CASO DE LOS MIEMBROS DE LA ALDEA CHICHUPAC Y COMUNIDADES VECINAS DEL MUNICIPIO DE RABINAL, CASO MOLINA THEISSEN Y</w:t>
      </w:r>
    </w:p>
    <w:p w14:paraId="7637180C" w14:textId="77777777" w:rsidR="00AC68B6" w:rsidRDefault="00AC68B6" w:rsidP="003C06A9">
      <w:pPr>
        <w:spacing w:after="0"/>
        <w:jc w:val="center"/>
        <w:rPr>
          <w:rFonts w:ascii="Verdana" w:hAnsi="Verdana"/>
          <w:b/>
          <w:sz w:val="20"/>
        </w:rPr>
      </w:pPr>
      <w:r w:rsidRPr="00F4474D">
        <w:rPr>
          <w:rFonts w:ascii="Verdana" w:hAnsi="Verdana"/>
          <w:b/>
          <w:sz w:val="20"/>
        </w:rPr>
        <w:t>OTROS 12 CASOS CONTRA GUATEMALA</w:t>
      </w:r>
      <w:r w:rsidRPr="00F4474D" w:rsidDel="00E03D12">
        <w:rPr>
          <w:rFonts w:ascii="Verdana" w:hAnsi="Verdana"/>
          <w:b/>
          <w:sz w:val="20"/>
        </w:rPr>
        <w:t xml:space="preserve"> </w:t>
      </w:r>
    </w:p>
    <w:p w14:paraId="3AA273C7" w14:textId="77777777" w:rsidR="00AC68B6" w:rsidRDefault="00AC68B6" w:rsidP="003C06A9">
      <w:pPr>
        <w:widowControl w:val="0"/>
        <w:spacing w:after="0"/>
        <w:jc w:val="center"/>
        <w:rPr>
          <w:rFonts w:ascii="Verdana" w:hAnsi="Verdana"/>
          <w:b/>
          <w:sz w:val="20"/>
          <w:szCs w:val="20"/>
        </w:rPr>
      </w:pPr>
    </w:p>
    <w:p w14:paraId="05407708" w14:textId="77777777" w:rsidR="006A7E49" w:rsidRPr="00AC68B6" w:rsidRDefault="006A7E49" w:rsidP="003C06A9">
      <w:pPr>
        <w:widowControl w:val="0"/>
        <w:spacing w:after="0"/>
        <w:jc w:val="center"/>
        <w:rPr>
          <w:rFonts w:ascii="Verdana" w:hAnsi="Verdana"/>
          <w:b/>
          <w:sz w:val="20"/>
          <w:szCs w:val="20"/>
        </w:rPr>
      </w:pPr>
    </w:p>
    <w:p w14:paraId="15232A4D" w14:textId="77777777" w:rsidR="00695E3F" w:rsidRDefault="00AC68B6" w:rsidP="00695E3F">
      <w:pPr>
        <w:pStyle w:val="Prrafodelista"/>
        <w:numPr>
          <w:ilvl w:val="0"/>
          <w:numId w:val="1"/>
        </w:numPr>
        <w:ind w:left="0" w:firstLine="0"/>
        <w:jc w:val="both"/>
        <w:rPr>
          <w:rFonts w:ascii="Verdana" w:hAnsi="Verdana" w:cs="Arial"/>
          <w:sz w:val="20"/>
          <w:szCs w:val="20"/>
        </w:rPr>
      </w:pPr>
      <w:r>
        <w:rPr>
          <w:rFonts w:ascii="Verdana" w:hAnsi="Verdana" w:cs="Arial"/>
          <w:sz w:val="20"/>
          <w:szCs w:val="20"/>
        </w:rPr>
        <w:t>Me permito</w:t>
      </w:r>
      <w:r w:rsidRPr="005A4598">
        <w:rPr>
          <w:rFonts w:ascii="Verdana" w:hAnsi="Verdana" w:cs="Arial"/>
          <w:sz w:val="20"/>
          <w:szCs w:val="20"/>
        </w:rPr>
        <w:t xml:space="preserve"> formular </w:t>
      </w:r>
      <w:r>
        <w:rPr>
          <w:rFonts w:ascii="Verdana" w:hAnsi="Verdana" w:cs="Arial"/>
          <w:sz w:val="20"/>
          <w:szCs w:val="20"/>
        </w:rPr>
        <w:t>el presente voto</w:t>
      </w:r>
      <w:r w:rsidRPr="005A4598">
        <w:rPr>
          <w:rFonts w:ascii="Verdana" w:hAnsi="Verdana" w:cs="Arial"/>
          <w:sz w:val="20"/>
          <w:szCs w:val="20"/>
        </w:rPr>
        <w:t xml:space="preserve"> </w:t>
      </w:r>
      <w:r>
        <w:rPr>
          <w:rFonts w:ascii="Verdana" w:hAnsi="Verdana" w:cs="Arial"/>
          <w:sz w:val="20"/>
          <w:szCs w:val="20"/>
        </w:rPr>
        <w:t xml:space="preserve">concurrente resaltando el respeto a la decisión unánime adoptada por la Corte Interamericana de Derechos Humanos (en adelante “la Corte” o “el Tribunal”) en la Resolución </w:t>
      </w:r>
      <w:r w:rsidR="00FB6357">
        <w:rPr>
          <w:rFonts w:ascii="Verdana" w:hAnsi="Verdana" w:cs="Arial"/>
          <w:sz w:val="20"/>
          <w:szCs w:val="20"/>
        </w:rPr>
        <w:t>de 14 de octubre de 201</w:t>
      </w:r>
      <w:r w:rsidR="001D4308">
        <w:rPr>
          <w:rFonts w:ascii="Verdana" w:hAnsi="Verdana" w:cs="Arial"/>
          <w:sz w:val="20"/>
          <w:szCs w:val="20"/>
        </w:rPr>
        <w:t>9</w:t>
      </w:r>
      <w:r w:rsidR="00FB6357">
        <w:rPr>
          <w:rFonts w:ascii="Verdana" w:hAnsi="Verdana" w:cs="Arial"/>
          <w:sz w:val="20"/>
          <w:szCs w:val="20"/>
        </w:rPr>
        <w:t xml:space="preserve"> </w:t>
      </w:r>
      <w:r w:rsidR="008C77A5">
        <w:rPr>
          <w:rFonts w:ascii="Verdana" w:hAnsi="Verdana" w:cs="Arial"/>
          <w:sz w:val="20"/>
          <w:szCs w:val="20"/>
        </w:rPr>
        <w:t>a la que acompaña este voto concurrente</w:t>
      </w:r>
      <w:r w:rsidR="0049545F">
        <w:rPr>
          <w:rFonts w:ascii="Verdana" w:hAnsi="Verdana" w:cs="Arial"/>
          <w:sz w:val="20"/>
          <w:szCs w:val="20"/>
        </w:rPr>
        <w:t xml:space="preserve"> (en adelante “la Resolución”)</w:t>
      </w:r>
      <w:r w:rsidR="00695E3F">
        <w:rPr>
          <w:rStyle w:val="Refdenotaalpie"/>
          <w:rFonts w:ascii="Verdana" w:hAnsi="Verdana" w:cs="Arial"/>
          <w:sz w:val="20"/>
          <w:szCs w:val="20"/>
        </w:rPr>
        <w:footnoteReference w:id="1"/>
      </w:r>
      <w:r w:rsidR="00695E3F" w:rsidRPr="00695E3F">
        <w:rPr>
          <w:rFonts w:ascii="Verdana" w:hAnsi="Verdana" w:cs="Arial"/>
          <w:sz w:val="20"/>
          <w:szCs w:val="20"/>
        </w:rPr>
        <w:t xml:space="preserve">. </w:t>
      </w:r>
      <w:r w:rsidR="008C77A5">
        <w:rPr>
          <w:rFonts w:ascii="Verdana" w:hAnsi="Verdana" w:cs="Arial"/>
          <w:sz w:val="20"/>
          <w:szCs w:val="20"/>
        </w:rPr>
        <w:t xml:space="preserve">Lo hago además </w:t>
      </w:r>
      <w:r w:rsidR="00695E3F" w:rsidRPr="00695E3F">
        <w:rPr>
          <w:rFonts w:ascii="Verdana" w:hAnsi="Verdana" w:cs="Arial"/>
          <w:sz w:val="20"/>
          <w:szCs w:val="20"/>
        </w:rPr>
        <w:t>a partir de concordar substancialmente con lo decidido.</w:t>
      </w:r>
    </w:p>
    <w:p w14:paraId="011A8EE3" w14:textId="77777777" w:rsidR="00695E3F" w:rsidRPr="00695E3F" w:rsidRDefault="00695E3F" w:rsidP="00695E3F">
      <w:pPr>
        <w:pStyle w:val="Prrafodelista"/>
        <w:ind w:left="0"/>
        <w:jc w:val="both"/>
        <w:rPr>
          <w:rFonts w:ascii="Verdana" w:hAnsi="Verdana" w:cs="Arial"/>
          <w:sz w:val="20"/>
          <w:szCs w:val="20"/>
        </w:rPr>
      </w:pPr>
    </w:p>
    <w:p w14:paraId="72E855CE" w14:textId="77777777" w:rsidR="00695E3F" w:rsidRDefault="00695E3F" w:rsidP="00695E3F">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El </w:t>
      </w:r>
      <w:r w:rsidR="00BC0102">
        <w:rPr>
          <w:rFonts w:ascii="Verdana" w:hAnsi="Verdana" w:cs="Arial"/>
          <w:sz w:val="20"/>
          <w:szCs w:val="20"/>
        </w:rPr>
        <w:t>objetivo</w:t>
      </w:r>
      <w:r>
        <w:rPr>
          <w:rFonts w:ascii="Verdana" w:hAnsi="Verdana" w:cs="Arial"/>
          <w:sz w:val="20"/>
          <w:szCs w:val="20"/>
        </w:rPr>
        <w:t xml:space="preserve"> de este voto es </w:t>
      </w:r>
      <w:r w:rsidR="00BC0102">
        <w:rPr>
          <w:rFonts w:ascii="Verdana" w:hAnsi="Verdana" w:cs="Arial"/>
          <w:sz w:val="20"/>
          <w:szCs w:val="20"/>
        </w:rPr>
        <w:t xml:space="preserve">referirme puntualmente a </w:t>
      </w:r>
      <w:r>
        <w:rPr>
          <w:rFonts w:ascii="Verdana" w:hAnsi="Verdana" w:cs="Arial"/>
          <w:sz w:val="20"/>
          <w:szCs w:val="20"/>
        </w:rPr>
        <w:t xml:space="preserve">la solicitud de ampliación de medidas provisionales presentada por la representante </w:t>
      </w:r>
      <w:r w:rsidR="00A16FCD">
        <w:rPr>
          <w:rFonts w:ascii="Verdana" w:hAnsi="Verdana" w:cs="Arial"/>
          <w:sz w:val="20"/>
          <w:szCs w:val="20"/>
        </w:rPr>
        <w:t xml:space="preserve">de las víctimas </w:t>
      </w:r>
      <w:r>
        <w:rPr>
          <w:rFonts w:ascii="Verdana" w:hAnsi="Verdana" w:cs="Arial"/>
          <w:sz w:val="20"/>
          <w:szCs w:val="20"/>
        </w:rPr>
        <w:t xml:space="preserve">del caso </w:t>
      </w:r>
      <w:r>
        <w:rPr>
          <w:rFonts w:ascii="Verdana" w:hAnsi="Verdana" w:cs="Arial"/>
          <w:i/>
          <w:sz w:val="20"/>
          <w:szCs w:val="20"/>
        </w:rPr>
        <w:t>M</w:t>
      </w:r>
      <w:r w:rsidR="003E1D32">
        <w:rPr>
          <w:rFonts w:ascii="Verdana" w:hAnsi="Verdana" w:cs="Arial"/>
          <w:i/>
          <w:sz w:val="20"/>
          <w:szCs w:val="20"/>
        </w:rPr>
        <w:t>iembros de la Ald</w:t>
      </w:r>
      <w:r w:rsidR="003C06A9">
        <w:rPr>
          <w:rFonts w:ascii="Verdana" w:hAnsi="Verdana" w:cs="Arial"/>
          <w:i/>
          <w:sz w:val="20"/>
          <w:szCs w:val="20"/>
        </w:rPr>
        <w:t xml:space="preserve">ea </w:t>
      </w:r>
      <w:proofErr w:type="spellStart"/>
      <w:r w:rsidR="003C06A9">
        <w:rPr>
          <w:rFonts w:ascii="Verdana" w:hAnsi="Verdana" w:cs="Arial"/>
          <w:i/>
          <w:sz w:val="20"/>
          <w:szCs w:val="20"/>
        </w:rPr>
        <w:t>Chichupac</w:t>
      </w:r>
      <w:proofErr w:type="spellEnd"/>
      <w:r w:rsidR="003C06A9">
        <w:rPr>
          <w:rFonts w:ascii="Verdana" w:hAnsi="Verdana" w:cs="Arial"/>
          <w:i/>
          <w:sz w:val="20"/>
          <w:szCs w:val="20"/>
        </w:rPr>
        <w:t xml:space="preserve"> y</w:t>
      </w:r>
      <w:r>
        <w:rPr>
          <w:rFonts w:ascii="Verdana" w:hAnsi="Verdana" w:cs="Arial"/>
          <w:i/>
          <w:sz w:val="20"/>
          <w:szCs w:val="20"/>
        </w:rPr>
        <w:t xml:space="preserve"> Comunidades vecinas del Municipio de</w:t>
      </w:r>
      <w:r w:rsidRPr="00695E3F">
        <w:rPr>
          <w:rFonts w:ascii="Verdana" w:hAnsi="Verdana" w:cs="Arial"/>
          <w:i/>
          <w:sz w:val="20"/>
          <w:szCs w:val="20"/>
        </w:rPr>
        <w:t xml:space="preserve"> Rabinal</w:t>
      </w:r>
      <w:r w:rsidR="00B274C6" w:rsidRPr="00B274C6">
        <w:rPr>
          <w:rFonts w:ascii="Verdana" w:hAnsi="Verdana" w:cs="Arial"/>
          <w:sz w:val="20"/>
          <w:szCs w:val="20"/>
        </w:rPr>
        <w:t xml:space="preserve"> </w:t>
      </w:r>
      <w:r w:rsidR="00B274C6">
        <w:rPr>
          <w:rFonts w:ascii="Verdana" w:hAnsi="Verdana" w:cs="Arial"/>
          <w:sz w:val="20"/>
          <w:szCs w:val="20"/>
        </w:rPr>
        <w:t>a favor de tres magistrados de la Corte de Constitucionalidad de Guatemala, resuelta en los Considerandos 33 a 37 y el punto resolutivo</w:t>
      </w:r>
      <w:r>
        <w:rPr>
          <w:rFonts w:ascii="Verdana" w:hAnsi="Verdana" w:cs="Arial"/>
          <w:sz w:val="20"/>
          <w:szCs w:val="20"/>
        </w:rPr>
        <w:t xml:space="preserve"> </w:t>
      </w:r>
      <w:r w:rsidR="00B274C6">
        <w:rPr>
          <w:rFonts w:ascii="Verdana" w:hAnsi="Verdana" w:cs="Arial"/>
          <w:sz w:val="20"/>
          <w:szCs w:val="20"/>
        </w:rPr>
        <w:t xml:space="preserve">cuarto de la Resolución. </w:t>
      </w:r>
    </w:p>
    <w:p w14:paraId="5630BAA5" w14:textId="77777777" w:rsidR="00695E3F" w:rsidRPr="00695E3F" w:rsidRDefault="00695E3F" w:rsidP="00695E3F">
      <w:pPr>
        <w:pStyle w:val="Prrafodelista"/>
        <w:rPr>
          <w:rFonts w:ascii="Verdana" w:hAnsi="Verdana" w:cs="Arial"/>
          <w:sz w:val="20"/>
          <w:szCs w:val="20"/>
        </w:rPr>
      </w:pPr>
    </w:p>
    <w:p w14:paraId="2675263B" w14:textId="77777777" w:rsidR="007D3E64" w:rsidRDefault="001512BE" w:rsidP="00695E3F">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Si bien estoy </w:t>
      </w:r>
      <w:r w:rsidR="00BC0102">
        <w:rPr>
          <w:rFonts w:ascii="Verdana" w:hAnsi="Verdana" w:cs="Arial"/>
          <w:sz w:val="20"/>
          <w:szCs w:val="20"/>
        </w:rPr>
        <w:t>fundamental</w:t>
      </w:r>
      <w:r w:rsidR="00B274C6">
        <w:rPr>
          <w:rFonts w:ascii="Verdana" w:hAnsi="Verdana" w:cs="Arial"/>
          <w:sz w:val="20"/>
          <w:szCs w:val="20"/>
        </w:rPr>
        <w:t>mente</w:t>
      </w:r>
      <w:r w:rsidR="00BC0102">
        <w:rPr>
          <w:rFonts w:ascii="Verdana" w:hAnsi="Verdana" w:cs="Arial"/>
          <w:sz w:val="20"/>
          <w:szCs w:val="20"/>
        </w:rPr>
        <w:t xml:space="preserve"> </w:t>
      </w:r>
      <w:r>
        <w:rPr>
          <w:rFonts w:ascii="Verdana" w:hAnsi="Verdana" w:cs="Arial"/>
          <w:sz w:val="20"/>
          <w:szCs w:val="20"/>
        </w:rPr>
        <w:t xml:space="preserve">de acuerdo con la decisión tomada por la Corte </w:t>
      </w:r>
      <w:r w:rsidR="00BC0102">
        <w:rPr>
          <w:rFonts w:ascii="Verdana" w:hAnsi="Verdana" w:cs="Arial"/>
          <w:sz w:val="20"/>
          <w:szCs w:val="20"/>
        </w:rPr>
        <w:t>para desestimar dicha solicitud</w:t>
      </w:r>
      <w:r>
        <w:rPr>
          <w:rFonts w:ascii="Verdana" w:hAnsi="Verdana" w:cs="Arial"/>
          <w:sz w:val="20"/>
          <w:szCs w:val="20"/>
        </w:rPr>
        <w:t xml:space="preserve">, considero necesario realizar </w:t>
      </w:r>
      <w:r w:rsidR="007D3E64">
        <w:rPr>
          <w:rFonts w:ascii="Verdana" w:hAnsi="Verdana" w:cs="Arial"/>
          <w:sz w:val="20"/>
          <w:szCs w:val="20"/>
        </w:rPr>
        <w:t xml:space="preserve">algunas precisiones </w:t>
      </w:r>
      <w:r w:rsidR="003C06A9">
        <w:rPr>
          <w:rFonts w:ascii="Verdana" w:hAnsi="Verdana" w:cs="Arial"/>
          <w:sz w:val="20"/>
          <w:szCs w:val="20"/>
        </w:rPr>
        <w:t xml:space="preserve">adicionales </w:t>
      </w:r>
      <w:r w:rsidR="00BC0102">
        <w:rPr>
          <w:rFonts w:ascii="Verdana" w:hAnsi="Verdana" w:cs="Arial"/>
          <w:sz w:val="20"/>
          <w:szCs w:val="20"/>
        </w:rPr>
        <w:t xml:space="preserve">respecto al análisis de los requisitos para la referida desestimación, </w:t>
      </w:r>
      <w:r w:rsidR="007D3E64">
        <w:rPr>
          <w:rFonts w:ascii="Verdana" w:hAnsi="Verdana" w:cs="Arial"/>
          <w:sz w:val="20"/>
          <w:szCs w:val="20"/>
        </w:rPr>
        <w:t>particularmente considerando lo que expresé previamente en mi voto disidente a la Resolución de medidas provisionales emitida por el Tribunal</w:t>
      </w:r>
      <w:r w:rsidR="00B274C6">
        <w:rPr>
          <w:rFonts w:ascii="Verdana" w:hAnsi="Verdana" w:cs="Arial"/>
          <w:sz w:val="20"/>
          <w:szCs w:val="20"/>
        </w:rPr>
        <w:t xml:space="preserve"> el 8 de febrero de 2018 </w:t>
      </w:r>
      <w:r w:rsidR="007D3E64">
        <w:rPr>
          <w:rFonts w:ascii="Verdana" w:hAnsi="Verdana" w:cs="Arial"/>
          <w:sz w:val="20"/>
          <w:szCs w:val="20"/>
        </w:rPr>
        <w:t xml:space="preserve">para el </w:t>
      </w:r>
      <w:r w:rsidR="007D3E64" w:rsidRPr="007D3E64">
        <w:rPr>
          <w:rFonts w:ascii="Verdana" w:hAnsi="Verdana" w:cs="Arial"/>
          <w:i/>
          <w:sz w:val="20"/>
          <w:szCs w:val="20"/>
        </w:rPr>
        <w:t>caso Durand y Ugarte Vs. Perú</w:t>
      </w:r>
      <w:r w:rsidR="007D3E64">
        <w:rPr>
          <w:rStyle w:val="Refdenotaalpie"/>
          <w:rFonts w:ascii="Verdana" w:hAnsi="Verdana" w:cs="Arial"/>
          <w:sz w:val="20"/>
          <w:szCs w:val="20"/>
        </w:rPr>
        <w:footnoteReference w:id="2"/>
      </w:r>
      <w:r w:rsidR="007D3E64">
        <w:rPr>
          <w:rFonts w:ascii="Verdana" w:hAnsi="Verdana" w:cs="Arial"/>
          <w:sz w:val="20"/>
          <w:szCs w:val="20"/>
        </w:rPr>
        <w:t>.</w:t>
      </w:r>
    </w:p>
    <w:p w14:paraId="77487A8D" w14:textId="77777777" w:rsidR="007D3E64" w:rsidRPr="007D3E64" w:rsidRDefault="007D3E64" w:rsidP="007D3E64">
      <w:pPr>
        <w:pStyle w:val="Prrafodelista"/>
        <w:rPr>
          <w:rFonts w:ascii="Verdana" w:hAnsi="Verdana" w:cs="Arial"/>
          <w:sz w:val="20"/>
          <w:szCs w:val="20"/>
        </w:rPr>
      </w:pPr>
    </w:p>
    <w:p w14:paraId="32925A40" w14:textId="77777777" w:rsidR="001A6EFA" w:rsidRPr="00031C0C" w:rsidRDefault="00171EBC" w:rsidP="00031C0C">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A tal efecto, </w:t>
      </w:r>
      <w:r w:rsidR="00D9767A">
        <w:rPr>
          <w:rFonts w:ascii="Verdana" w:hAnsi="Verdana" w:cs="Arial"/>
          <w:sz w:val="20"/>
          <w:szCs w:val="20"/>
        </w:rPr>
        <w:t xml:space="preserve">a continuación me referiré a: </w:t>
      </w:r>
      <w:r w:rsidRPr="00A05CFE">
        <w:rPr>
          <w:rFonts w:ascii="Verdana" w:hAnsi="Verdana" w:cs="Arial"/>
          <w:sz w:val="20"/>
          <w:szCs w:val="20"/>
        </w:rPr>
        <w:t>(i)</w:t>
      </w:r>
      <w:r w:rsidR="00A05CFE" w:rsidRPr="00A05CFE">
        <w:rPr>
          <w:rFonts w:ascii="Verdana" w:hAnsi="Verdana" w:cs="Arial"/>
          <w:sz w:val="20"/>
          <w:szCs w:val="20"/>
        </w:rPr>
        <w:t xml:space="preserve"> </w:t>
      </w:r>
      <w:r w:rsidR="00031C0C">
        <w:rPr>
          <w:rFonts w:ascii="Verdana" w:hAnsi="Verdana" w:cs="Arial"/>
          <w:sz w:val="20"/>
          <w:szCs w:val="20"/>
        </w:rPr>
        <w:t>el</w:t>
      </w:r>
      <w:r w:rsidR="00A05CFE" w:rsidRPr="00A05CFE">
        <w:rPr>
          <w:rFonts w:ascii="Verdana" w:hAnsi="Verdana" w:cs="Arial"/>
          <w:sz w:val="20"/>
          <w:szCs w:val="20"/>
        </w:rPr>
        <w:t xml:space="preserve"> análisis</w:t>
      </w:r>
      <w:r w:rsidR="00031C0C">
        <w:rPr>
          <w:rFonts w:ascii="Verdana" w:hAnsi="Verdana" w:cs="Arial"/>
          <w:sz w:val="20"/>
          <w:szCs w:val="20"/>
        </w:rPr>
        <w:t xml:space="preserve"> de requisitos convencionales</w:t>
      </w:r>
      <w:r w:rsidR="00A05CFE" w:rsidRPr="00A05CFE">
        <w:rPr>
          <w:rFonts w:ascii="Verdana" w:hAnsi="Verdana" w:cs="Arial"/>
          <w:sz w:val="20"/>
          <w:szCs w:val="20"/>
        </w:rPr>
        <w:t xml:space="preserve"> realizado en la Resolución para </w:t>
      </w:r>
      <w:r w:rsidR="00031C0C">
        <w:rPr>
          <w:rFonts w:ascii="Verdana" w:hAnsi="Verdana" w:cs="Arial"/>
          <w:sz w:val="20"/>
          <w:szCs w:val="20"/>
        </w:rPr>
        <w:t>denegar</w:t>
      </w:r>
      <w:r w:rsidR="00A05CFE" w:rsidRPr="00A05CFE">
        <w:rPr>
          <w:rFonts w:ascii="Verdana" w:hAnsi="Verdana" w:cs="Arial"/>
          <w:sz w:val="20"/>
          <w:szCs w:val="20"/>
        </w:rPr>
        <w:t xml:space="preserve"> la </w:t>
      </w:r>
      <w:r w:rsidR="00D9767A">
        <w:rPr>
          <w:rFonts w:ascii="Verdana" w:hAnsi="Verdana" w:cs="Arial"/>
          <w:sz w:val="20"/>
          <w:szCs w:val="20"/>
        </w:rPr>
        <w:t xml:space="preserve">solicitud </w:t>
      </w:r>
      <w:r w:rsidR="00A05CFE" w:rsidRPr="00A05CFE">
        <w:rPr>
          <w:rFonts w:ascii="Verdana" w:hAnsi="Verdana" w:cs="Arial"/>
          <w:sz w:val="20"/>
          <w:szCs w:val="20"/>
        </w:rPr>
        <w:t>amplia</w:t>
      </w:r>
      <w:r w:rsidR="00031C0C">
        <w:rPr>
          <w:rFonts w:ascii="Verdana" w:hAnsi="Verdana" w:cs="Arial"/>
          <w:sz w:val="20"/>
          <w:szCs w:val="20"/>
        </w:rPr>
        <w:t>ción de medidas provisionales;</w:t>
      </w:r>
      <w:r w:rsidR="00A05CFE" w:rsidRPr="00A05CFE">
        <w:rPr>
          <w:rFonts w:ascii="Verdana" w:hAnsi="Verdana" w:cs="Arial"/>
          <w:sz w:val="20"/>
          <w:szCs w:val="20"/>
        </w:rPr>
        <w:t xml:space="preserve"> (ii)</w:t>
      </w:r>
      <w:r w:rsidR="00031C0C">
        <w:rPr>
          <w:rFonts w:ascii="Verdana" w:hAnsi="Verdana" w:cs="Arial"/>
          <w:sz w:val="20"/>
          <w:szCs w:val="20"/>
        </w:rPr>
        <w:t xml:space="preserve"> </w:t>
      </w:r>
      <w:r w:rsidR="00D9767A">
        <w:rPr>
          <w:rFonts w:ascii="Verdana" w:hAnsi="Verdana" w:cs="Arial"/>
          <w:sz w:val="20"/>
          <w:szCs w:val="20"/>
        </w:rPr>
        <w:t>los beneficiarios de la referida solicitud de ampliación</w:t>
      </w:r>
      <w:r w:rsidR="00031C0C">
        <w:rPr>
          <w:rFonts w:ascii="Verdana" w:hAnsi="Verdana" w:cs="Arial"/>
          <w:sz w:val="20"/>
          <w:szCs w:val="20"/>
        </w:rPr>
        <w:t xml:space="preserve">, y </w:t>
      </w:r>
      <w:r w:rsidR="001D4308">
        <w:rPr>
          <w:rFonts w:ascii="Verdana" w:hAnsi="Verdana" w:cs="Arial"/>
          <w:sz w:val="20"/>
          <w:szCs w:val="20"/>
        </w:rPr>
        <w:t>(</w:t>
      </w:r>
      <w:r w:rsidR="00031C0C">
        <w:rPr>
          <w:rFonts w:ascii="Verdana" w:hAnsi="Verdana" w:cs="Arial"/>
          <w:sz w:val="20"/>
          <w:szCs w:val="20"/>
        </w:rPr>
        <w:t>iii) conclusión</w:t>
      </w:r>
      <w:r w:rsidR="00A05CFE" w:rsidRPr="00031C0C">
        <w:rPr>
          <w:rFonts w:ascii="Verdana" w:hAnsi="Verdana" w:cs="Arial"/>
          <w:sz w:val="20"/>
          <w:szCs w:val="20"/>
        </w:rPr>
        <w:t xml:space="preserve">. </w:t>
      </w:r>
    </w:p>
    <w:p w14:paraId="339D19CD" w14:textId="77777777" w:rsidR="006A7E49" w:rsidRDefault="006A7E49">
      <w:pPr>
        <w:spacing w:after="160" w:line="259" w:lineRule="auto"/>
        <w:rPr>
          <w:rFonts w:ascii="Verdana" w:hAnsi="Verdana" w:cs="Arial"/>
          <w:strike/>
          <w:sz w:val="20"/>
          <w:szCs w:val="20"/>
          <w:lang w:val="es-ES_tradnl"/>
        </w:rPr>
      </w:pPr>
      <w:r>
        <w:rPr>
          <w:rFonts w:ascii="Verdana" w:hAnsi="Verdana" w:cs="Arial"/>
          <w:strike/>
          <w:sz w:val="20"/>
          <w:szCs w:val="20"/>
          <w:lang w:val="es-ES_tradnl"/>
        </w:rPr>
        <w:br w:type="page"/>
      </w:r>
    </w:p>
    <w:p w14:paraId="2CF38B11" w14:textId="77777777" w:rsidR="00732AA7" w:rsidRPr="00732AA7" w:rsidRDefault="00B32AD3" w:rsidP="00A05CFE">
      <w:pPr>
        <w:pStyle w:val="Prrafodelista"/>
        <w:numPr>
          <w:ilvl w:val="0"/>
          <w:numId w:val="5"/>
        </w:numPr>
        <w:jc w:val="both"/>
        <w:rPr>
          <w:rFonts w:ascii="Verdana" w:hAnsi="Verdana" w:cs="Arial"/>
          <w:sz w:val="20"/>
          <w:szCs w:val="20"/>
        </w:rPr>
      </w:pPr>
      <w:r>
        <w:rPr>
          <w:rFonts w:ascii="Verdana" w:hAnsi="Verdana" w:cs="Arial"/>
          <w:b/>
          <w:sz w:val="20"/>
          <w:szCs w:val="20"/>
        </w:rPr>
        <w:lastRenderedPageBreak/>
        <w:t>Análisis realizado en la Resolución respecto de los r</w:t>
      </w:r>
      <w:r w:rsidR="00732AA7" w:rsidRPr="00732AA7">
        <w:rPr>
          <w:rFonts w:ascii="Verdana" w:hAnsi="Verdana" w:cs="Arial"/>
          <w:b/>
          <w:sz w:val="20"/>
          <w:szCs w:val="20"/>
        </w:rPr>
        <w:t>equisitos para otorgar la ampliación de medidas provisionales</w:t>
      </w:r>
    </w:p>
    <w:p w14:paraId="162ACA7E" w14:textId="77777777" w:rsidR="00732AA7" w:rsidRPr="006A7E49" w:rsidRDefault="00732AA7" w:rsidP="00732AA7">
      <w:pPr>
        <w:pStyle w:val="Prrafodelista"/>
        <w:rPr>
          <w:rFonts w:ascii="Verdana" w:hAnsi="Verdana" w:cs="Arial"/>
          <w:sz w:val="10"/>
          <w:szCs w:val="10"/>
        </w:rPr>
      </w:pPr>
    </w:p>
    <w:p w14:paraId="02A709E9" w14:textId="77777777" w:rsidR="00732AA7" w:rsidRPr="006F19B6" w:rsidRDefault="00732AA7" w:rsidP="00695E3F">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Como se refiere en la Resolución, la jurisprudencia </w:t>
      </w:r>
      <w:r w:rsidR="001A6EFA">
        <w:rPr>
          <w:rFonts w:ascii="Verdana" w:hAnsi="Verdana" w:cs="Arial"/>
          <w:sz w:val="20"/>
          <w:szCs w:val="20"/>
        </w:rPr>
        <w:t xml:space="preserve">constante </w:t>
      </w:r>
      <w:r>
        <w:rPr>
          <w:rFonts w:ascii="Verdana" w:hAnsi="Verdana" w:cs="Arial"/>
          <w:sz w:val="20"/>
          <w:szCs w:val="20"/>
        </w:rPr>
        <w:t xml:space="preserve">de la Corte </w:t>
      </w:r>
      <w:r w:rsidR="001A6EFA">
        <w:rPr>
          <w:rFonts w:ascii="Verdana" w:hAnsi="Verdana" w:cs="Arial"/>
          <w:sz w:val="20"/>
          <w:szCs w:val="20"/>
        </w:rPr>
        <w:t>ha señalado q</w:t>
      </w:r>
      <w:r>
        <w:rPr>
          <w:rFonts w:ascii="Verdana" w:hAnsi="Verdana" w:cs="Arial"/>
          <w:sz w:val="20"/>
          <w:szCs w:val="20"/>
        </w:rPr>
        <w:t>ue para otorgar la ampliación de medidas provisionales</w:t>
      </w:r>
      <w:r w:rsidR="006F19B6">
        <w:rPr>
          <w:rFonts w:ascii="Verdana" w:hAnsi="Verdana" w:cs="Arial"/>
          <w:sz w:val="20"/>
          <w:szCs w:val="20"/>
        </w:rPr>
        <w:t xml:space="preserve"> es necesario que</w:t>
      </w:r>
      <w:r>
        <w:rPr>
          <w:rFonts w:ascii="Verdana" w:hAnsi="Verdana" w:cs="Arial"/>
          <w:sz w:val="20"/>
          <w:szCs w:val="20"/>
        </w:rPr>
        <w:t xml:space="preserve">: i) los hechos alegados en la solicitud deben tener una conexión fáctica con los eventos que justificaron la adopción de medidas provisionales, y ii) </w:t>
      </w:r>
      <w:r w:rsidR="006F19B6">
        <w:rPr>
          <w:rFonts w:ascii="Verdana" w:hAnsi="Verdana" w:cs="Arial"/>
          <w:sz w:val="20"/>
          <w:szCs w:val="20"/>
        </w:rPr>
        <w:t>concurran</w:t>
      </w:r>
      <w:r>
        <w:rPr>
          <w:rFonts w:ascii="Verdana" w:hAnsi="Verdana" w:cs="Arial"/>
          <w:sz w:val="20"/>
          <w:szCs w:val="20"/>
        </w:rPr>
        <w:t xml:space="preserve"> las condiciones </w:t>
      </w:r>
      <w:r w:rsidR="000A2EFE">
        <w:rPr>
          <w:rFonts w:ascii="Verdana" w:hAnsi="Verdana" w:cs="Arial"/>
          <w:sz w:val="20"/>
          <w:szCs w:val="20"/>
        </w:rPr>
        <w:t xml:space="preserve">de extrema gravedad, urgencia y daño irreparable, </w:t>
      </w:r>
      <w:r>
        <w:rPr>
          <w:rFonts w:ascii="Verdana" w:hAnsi="Verdana" w:cs="Arial"/>
          <w:sz w:val="20"/>
          <w:szCs w:val="20"/>
        </w:rPr>
        <w:t xml:space="preserve">exigidas por el artículo 63.2 </w:t>
      </w:r>
      <w:r w:rsidRPr="006F19B6">
        <w:rPr>
          <w:rFonts w:ascii="Verdana" w:hAnsi="Verdana" w:cs="Arial"/>
          <w:sz w:val="20"/>
          <w:szCs w:val="20"/>
        </w:rPr>
        <w:t>de la Convención Americana</w:t>
      </w:r>
      <w:r w:rsidR="006F19B6" w:rsidRPr="006F19B6">
        <w:rPr>
          <w:rFonts w:ascii="Verdana" w:hAnsi="Verdana" w:cs="Arial"/>
          <w:sz w:val="20"/>
          <w:szCs w:val="20"/>
        </w:rPr>
        <w:t xml:space="preserve"> sobre Derechos Humanos (en adelante “la Convención</w:t>
      </w:r>
      <w:r w:rsidR="006F19B6">
        <w:rPr>
          <w:rFonts w:ascii="Verdana" w:hAnsi="Verdana" w:cs="Arial"/>
          <w:sz w:val="20"/>
          <w:szCs w:val="20"/>
        </w:rPr>
        <w:t xml:space="preserve"> Americana</w:t>
      </w:r>
      <w:r w:rsidR="006F19B6" w:rsidRPr="006F19B6">
        <w:rPr>
          <w:rFonts w:ascii="Verdana" w:hAnsi="Verdana" w:cs="Arial"/>
          <w:sz w:val="20"/>
          <w:szCs w:val="20"/>
        </w:rPr>
        <w:t>”)</w:t>
      </w:r>
      <w:r w:rsidRPr="006F19B6">
        <w:rPr>
          <w:rStyle w:val="Refdenotaalpie"/>
          <w:rFonts w:ascii="Verdana" w:hAnsi="Verdana" w:cs="Arial"/>
          <w:sz w:val="20"/>
          <w:szCs w:val="20"/>
        </w:rPr>
        <w:footnoteReference w:id="3"/>
      </w:r>
      <w:r w:rsidR="006F19B6" w:rsidRPr="006F19B6">
        <w:rPr>
          <w:rFonts w:ascii="Verdana" w:hAnsi="Verdana" w:cs="Arial"/>
          <w:sz w:val="20"/>
          <w:szCs w:val="20"/>
        </w:rPr>
        <w:t>.</w:t>
      </w:r>
    </w:p>
    <w:p w14:paraId="5D33E3B8" w14:textId="77777777" w:rsidR="00732AA7" w:rsidRPr="006A7E49" w:rsidRDefault="00732AA7" w:rsidP="00732AA7">
      <w:pPr>
        <w:pStyle w:val="Prrafodelista"/>
        <w:rPr>
          <w:rFonts w:ascii="Verdana" w:hAnsi="Verdana" w:cs="Arial"/>
          <w:sz w:val="10"/>
          <w:szCs w:val="10"/>
        </w:rPr>
      </w:pPr>
    </w:p>
    <w:p w14:paraId="2AB3ECE7" w14:textId="77777777" w:rsidR="003E1D32" w:rsidRDefault="00732AA7" w:rsidP="003E1D32">
      <w:pPr>
        <w:pStyle w:val="Prrafodelista"/>
        <w:numPr>
          <w:ilvl w:val="0"/>
          <w:numId w:val="1"/>
        </w:numPr>
        <w:ind w:left="0" w:firstLine="0"/>
        <w:jc w:val="both"/>
        <w:rPr>
          <w:rFonts w:ascii="Verdana" w:hAnsi="Verdana" w:cs="Arial"/>
          <w:sz w:val="20"/>
          <w:szCs w:val="20"/>
        </w:rPr>
      </w:pPr>
      <w:r w:rsidRPr="001A6EFA">
        <w:rPr>
          <w:rFonts w:ascii="Verdana" w:hAnsi="Verdana" w:cs="Arial"/>
          <w:sz w:val="20"/>
          <w:szCs w:val="20"/>
        </w:rPr>
        <w:t>Al realizar</w:t>
      </w:r>
      <w:r w:rsidR="001A6EFA" w:rsidRPr="001A6EFA">
        <w:rPr>
          <w:rFonts w:ascii="Verdana" w:hAnsi="Verdana" w:cs="Arial"/>
          <w:sz w:val="20"/>
          <w:szCs w:val="20"/>
        </w:rPr>
        <w:t>se en la Resolución</w:t>
      </w:r>
      <w:r w:rsidRPr="001A6EFA">
        <w:rPr>
          <w:rFonts w:ascii="Verdana" w:hAnsi="Verdana" w:cs="Arial"/>
          <w:sz w:val="20"/>
          <w:szCs w:val="20"/>
        </w:rPr>
        <w:t xml:space="preserve"> el análisis de los referidos r</w:t>
      </w:r>
      <w:r w:rsidR="00883640" w:rsidRPr="001A6EFA">
        <w:rPr>
          <w:rFonts w:ascii="Verdana" w:hAnsi="Verdana" w:cs="Arial"/>
          <w:sz w:val="20"/>
          <w:szCs w:val="20"/>
        </w:rPr>
        <w:t>equisitos, el Tribunal estableció</w:t>
      </w:r>
      <w:r w:rsidRPr="001A6EFA">
        <w:rPr>
          <w:rFonts w:ascii="Verdana" w:hAnsi="Verdana" w:cs="Arial"/>
          <w:sz w:val="20"/>
          <w:szCs w:val="20"/>
        </w:rPr>
        <w:t>, en primer lugar, que en efecto “</w:t>
      </w:r>
      <w:r w:rsidRPr="001A6EFA">
        <w:rPr>
          <w:rFonts w:ascii="Verdana" w:hAnsi="Verdana" w:cs="Verdana"/>
          <w:sz w:val="20"/>
          <w:lang w:val="es-CR"/>
        </w:rPr>
        <w:t>se configura el requisito relativo a que la solicitud de la ampliación de l</w:t>
      </w:r>
      <w:r w:rsidRPr="001A6EFA">
        <w:rPr>
          <w:rFonts w:ascii="Verdana" w:hAnsi="Verdana" w:cs="Verdana"/>
          <w:sz w:val="20"/>
        </w:rPr>
        <w:t>as medidas provisionales tenga ‘</w:t>
      </w:r>
      <w:r w:rsidRPr="001A6EFA">
        <w:rPr>
          <w:rFonts w:ascii="Verdana" w:hAnsi="Verdana"/>
          <w:sz w:val="20"/>
        </w:rPr>
        <w:t>una conexión fáctica con los eventos que justificaron la adopción de medidas provisionales’”</w:t>
      </w:r>
      <w:r w:rsidR="001A6EFA">
        <w:rPr>
          <w:rStyle w:val="Refdenotaalpie"/>
          <w:rFonts w:ascii="Verdana" w:hAnsi="Verdana"/>
          <w:sz w:val="20"/>
        </w:rPr>
        <w:footnoteReference w:id="4"/>
      </w:r>
      <w:r w:rsidRPr="001A6EFA">
        <w:rPr>
          <w:rFonts w:ascii="Verdana" w:hAnsi="Verdana"/>
          <w:sz w:val="20"/>
        </w:rPr>
        <w:t xml:space="preserve">. </w:t>
      </w:r>
      <w:r w:rsidR="00E73A7A" w:rsidRPr="001A6EFA">
        <w:rPr>
          <w:rFonts w:ascii="Verdana" w:hAnsi="Verdana" w:cs="Arial"/>
          <w:sz w:val="20"/>
          <w:szCs w:val="20"/>
        </w:rPr>
        <w:t xml:space="preserve">En segundo lugar, </w:t>
      </w:r>
      <w:r w:rsidR="00B32AD3" w:rsidRPr="001A6EFA">
        <w:rPr>
          <w:rFonts w:ascii="Verdana" w:hAnsi="Verdana" w:cs="Arial"/>
          <w:sz w:val="20"/>
          <w:szCs w:val="20"/>
        </w:rPr>
        <w:t>la Corte determinó que “no se configur</w:t>
      </w:r>
      <w:r w:rsidR="001D4308">
        <w:rPr>
          <w:rFonts w:ascii="Verdana" w:hAnsi="Verdana" w:cs="Arial"/>
          <w:sz w:val="20"/>
          <w:szCs w:val="20"/>
        </w:rPr>
        <w:t>a</w:t>
      </w:r>
      <w:r w:rsidR="00B32AD3" w:rsidRPr="001A6EFA">
        <w:rPr>
          <w:rFonts w:ascii="Verdana" w:hAnsi="Verdana" w:cs="Arial"/>
          <w:sz w:val="20"/>
          <w:szCs w:val="20"/>
        </w:rPr>
        <w:t xml:space="preserve"> una situación de ‘urgencia’, en los términos exigidos por el artículo 63.2 de la Convención Americana, debido a que el procedimiento de antejuicio estaría aún en una etapa inicial”</w:t>
      </w:r>
      <w:r w:rsidR="00B32AD3">
        <w:rPr>
          <w:rStyle w:val="Refdenotaalpie"/>
          <w:rFonts w:ascii="Verdana" w:hAnsi="Verdana" w:cs="Arial"/>
          <w:sz w:val="20"/>
          <w:szCs w:val="20"/>
        </w:rPr>
        <w:footnoteReference w:id="5"/>
      </w:r>
      <w:r w:rsidR="00B32AD3" w:rsidRPr="001A6EFA">
        <w:rPr>
          <w:rFonts w:ascii="Verdana" w:hAnsi="Verdana" w:cs="Arial"/>
          <w:sz w:val="20"/>
          <w:szCs w:val="20"/>
        </w:rPr>
        <w:t xml:space="preserve">. Por tanto, al no configurarse uno de los tres requisitos convencionales para otorgar medidas provisionales, el Tribunal no entró a analizar los requisitos de extrema gravedad e </w:t>
      </w:r>
      <w:proofErr w:type="spellStart"/>
      <w:r w:rsidR="00B32AD3" w:rsidRPr="001A6EFA">
        <w:rPr>
          <w:rFonts w:ascii="Verdana" w:hAnsi="Verdana" w:cs="Arial"/>
          <w:sz w:val="20"/>
          <w:szCs w:val="20"/>
        </w:rPr>
        <w:t>irreparabilidad</w:t>
      </w:r>
      <w:proofErr w:type="spellEnd"/>
      <w:r w:rsidR="00B32AD3" w:rsidRPr="001A6EFA">
        <w:rPr>
          <w:rFonts w:ascii="Verdana" w:hAnsi="Verdana" w:cs="Arial"/>
          <w:sz w:val="20"/>
          <w:szCs w:val="20"/>
        </w:rPr>
        <w:t xml:space="preserve"> del daño y señaló que “no procede ordenar al Estado la ampliación de medidas provisionales”</w:t>
      </w:r>
      <w:r w:rsidR="00B32AD3">
        <w:rPr>
          <w:rStyle w:val="Refdenotaalpie"/>
          <w:rFonts w:ascii="Verdana" w:hAnsi="Verdana" w:cs="Arial"/>
          <w:sz w:val="20"/>
          <w:szCs w:val="20"/>
        </w:rPr>
        <w:footnoteReference w:id="6"/>
      </w:r>
      <w:r w:rsidR="00B32AD3" w:rsidRPr="001A6EFA">
        <w:rPr>
          <w:rFonts w:ascii="Verdana" w:hAnsi="Verdana" w:cs="Arial"/>
          <w:sz w:val="20"/>
          <w:szCs w:val="20"/>
        </w:rPr>
        <w:t xml:space="preserve">. </w:t>
      </w:r>
    </w:p>
    <w:p w14:paraId="53942957" w14:textId="77777777" w:rsidR="003E1D32" w:rsidRPr="006A7E49" w:rsidRDefault="003E1D32" w:rsidP="003E1D32">
      <w:pPr>
        <w:pStyle w:val="Prrafodelista"/>
        <w:rPr>
          <w:rFonts w:ascii="Verdana" w:hAnsi="Verdana" w:cs="Arial"/>
          <w:sz w:val="10"/>
          <w:szCs w:val="10"/>
          <w:u w:val="single"/>
        </w:rPr>
      </w:pPr>
    </w:p>
    <w:p w14:paraId="7602DD1F" w14:textId="77777777" w:rsidR="0025469D" w:rsidRPr="0025469D" w:rsidRDefault="003C06A9" w:rsidP="0025469D">
      <w:pPr>
        <w:pStyle w:val="Prrafodelista"/>
        <w:numPr>
          <w:ilvl w:val="0"/>
          <w:numId w:val="1"/>
        </w:numPr>
        <w:ind w:left="0" w:firstLine="0"/>
        <w:jc w:val="both"/>
        <w:rPr>
          <w:rFonts w:ascii="Verdana" w:hAnsi="Verdana" w:cs="Arial"/>
          <w:sz w:val="20"/>
          <w:szCs w:val="20"/>
        </w:rPr>
      </w:pPr>
      <w:r w:rsidRPr="006A7E49">
        <w:rPr>
          <w:rFonts w:ascii="Verdana" w:hAnsi="Verdana" w:cs="Arial"/>
          <w:sz w:val="20"/>
          <w:szCs w:val="20"/>
        </w:rPr>
        <w:t xml:space="preserve">Si bien </w:t>
      </w:r>
      <w:r w:rsidR="00955306" w:rsidRPr="006A7E49">
        <w:rPr>
          <w:rFonts w:ascii="Verdana" w:hAnsi="Verdana" w:cs="Arial"/>
          <w:sz w:val="20"/>
          <w:szCs w:val="20"/>
        </w:rPr>
        <w:t xml:space="preserve">estoy de acuerdo </w:t>
      </w:r>
      <w:r w:rsidRPr="006A7E49">
        <w:rPr>
          <w:rFonts w:ascii="Verdana" w:hAnsi="Verdana" w:cs="Arial"/>
          <w:sz w:val="20"/>
          <w:szCs w:val="20"/>
        </w:rPr>
        <w:t>con el análisis realizado en la Resolución respecto a los</w:t>
      </w:r>
      <w:r w:rsidR="00883640" w:rsidRPr="006A7E49">
        <w:rPr>
          <w:rFonts w:ascii="Verdana" w:hAnsi="Verdana" w:cs="Arial"/>
          <w:sz w:val="20"/>
          <w:szCs w:val="20"/>
        </w:rPr>
        <w:t xml:space="preserve"> dos</w:t>
      </w:r>
      <w:r w:rsidRPr="006A7E49">
        <w:rPr>
          <w:rFonts w:ascii="Verdana" w:hAnsi="Verdana" w:cs="Arial"/>
          <w:sz w:val="20"/>
          <w:szCs w:val="20"/>
        </w:rPr>
        <w:t xml:space="preserve"> requisitos en cuestión</w:t>
      </w:r>
      <w:r w:rsidRPr="003E1D32">
        <w:rPr>
          <w:rFonts w:ascii="Verdana" w:hAnsi="Verdana" w:cs="Arial"/>
          <w:sz w:val="20"/>
          <w:szCs w:val="20"/>
        </w:rPr>
        <w:t>, es mi parecer que no se tomó en consideración un elemento adicional que resulta fundamental</w:t>
      </w:r>
      <w:r w:rsidR="00883640" w:rsidRPr="003E1D32">
        <w:rPr>
          <w:rFonts w:ascii="Verdana" w:hAnsi="Verdana" w:cs="Arial"/>
          <w:sz w:val="20"/>
          <w:szCs w:val="20"/>
        </w:rPr>
        <w:t xml:space="preserve"> para haber decidido esta solicitud de ampliación de medidas provisionales</w:t>
      </w:r>
      <w:r w:rsidRPr="003E1D32">
        <w:rPr>
          <w:rFonts w:ascii="Verdana" w:hAnsi="Verdana" w:cs="Arial"/>
          <w:sz w:val="20"/>
          <w:szCs w:val="20"/>
        </w:rPr>
        <w:t xml:space="preserve">: que las personas a favor </w:t>
      </w:r>
      <w:r w:rsidR="00A16FCD">
        <w:rPr>
          <w:rFonts w:ascii="Verdana" w:hAnsi="Verdana" w:cs="Arial"/>
          <w:sz w:val="20"/>
          <w:szCs w:val="20"/>
        </w:rPr>
        <w:t>de quienes se estaba</w:t>
      </w:r>
      <w:r w:rsidRPr="003E1D32">
        <w:rPr>
          <w:rFonts w:ascii="Verdana" w:hAnsi="Verdana" w:cs="Arial"/>
          <w:sz w:val="20"/>
          <w:szCs w:val="20"/>
        </w:rPr>
        <w:t xml:space="preserve"> planteando la solicitud de medidas provisionales no son víctimas de ninguno de los catorce casos respecto de los cuales se ordenó garantizar el derecho </w:t>
      </w:r>
      <w:r w:rsidR="006A7E49">
        <w:rPr>
          <w:rFonts w:ascii="Verdana" w:hAnsi="Verdana" w:cs="Arial"/>
          <w:sz w:val="20"/>
          <w:szCs w:val="20"/>
        </w:rPr>
        <w:t>de</w:t>
      </w:r>
      <w:r w:rsidRPr="003E1D32">
        <w:rPr>
          <w:rFonts w:ascii="Verdana" w:hAnsi="Verdana" w:cs="Arial"/>
          <w:sz w:val="20"/>
          <w:szCs w:val="20"/>
        </w:rPr>
        <w:t xml:space="preserve"> acceso a la justicia en el punto resolutivo segundo de la Resolución de </w:t>
      </w:r>
      <w:r w:rsidR="00955306" w:rsidRPr="003E1D32">
        <w:rPr>
          <w:rFonts w:ascii="Verdana" w:hAnsi="Verdana" w:cs="Arial"/>
          <w:sz w:val="20"/>
          <w:szCs w:val="20"/>
        </w:rPr>
        <w:t xml:space="preserve">medidas provisionales y supervisión de cumplimiento de sentencias emitida por la Corte el </w:t>
      </w:r>
      <w:r w:rsidRPr="003E1D32">
        <w:rPr>
          <w:rFonts w:ascii="Verdana" w:hAnsi="Verdana" w:cs="Arial"/>
          <w:sz w:val="20"/>
          <w:szCs w:val="20"/>
        </w:rPr>
        <w:t>12 de marzo de 2019</w:t>
      </w:r>
      <w:r w:rsidR="00955306" w:rsidRPr="003E1D32">
        <w:rPr>
          <w:rFonts w:ascii="Verdana" w:hAnsi="Verdana" w:cs="Arial"/>
          <w:sz w:val="20"/>
          <w:szCs w:val="20"/>
        </w:rPr>
        <w:t xml:space="preserve"> (en adelante la “Resolución de 12 de marzo de 2019”).</w:t>
      </w:r>
      <w:r w:rsidR="00C3730C" w:rsidRPr="003E1D32">
        <w:rPr>
          <w:rFonts w:ascii="Verdana" w:hAnsi="Verdana" w:cs="Arial"/>
          <w:sz w:val="20"/>
          <w:szCs w:val="20"/>
        </w:rPr>
        <w:t xml:space="preserve"> </w:t>
      </w:r>
    </w:p>
    <w:p w14:paraId="66E9EB64" w14:textId="77777777" w:rsidR="006A7E49" w:rsidRPr="006A7E49" w:rsidRDefault="006A7E49" w:rsidP="0025469D">
      <w:pPr>
        <w:pStyle w:val="Prrafodelista"/>
        <w:ind w:left="0"/>
        <w:jc w:val="both"/>
        <w:rPr>
          <w:rFonts w:ascii="Verdana" w:hAnsi="Verdana" w:cs="Arial"/>
          <w:sz w:val="10"/>
          <w:szCs w:val="10"/>
        </w:rPr>
      </w:pPr>
    </w:p>
    <w:p w14:paraId="36F8425B" w14:textId="77777777" w:rsidR="00883640" w:rsidRPr="00883640" w:rsidRDefault="00883640" w:rsidP="00883640">
      <w:pPr>
        <w:pStyle w:val="Prrafodelista"/>
        <w:numPr>
          <w:ilvl w:val="0"/>
          <w:numId w:val="5"/>
        </w:numPr>
        <w:jc w:val="both"/>
        <w:rPr>
          <w:rFonts w:ascii="Verdana" w:hAnsi="Verdana" w:cs="Arial"/>
          <w:b/>
          <w:sz w:val="20"/>
          <w:szCs w:val="20"/>
        </w:rPr>
      </w:pPr>
      <w:r w:rsidRPr="00883640">
        <w:rPr>
          <w:rFonts w:ascii="Verdana" w:hAnsi="Verdana" w:cs="Arial"/>
          <w:b/>
          <w:sz w:val="20"/>
          <w:szCs w:val="20"/>
        </w:rPr>
        <w:t>Los</w:t>
      </w:r>
      <w:r>
        <w:rPr>
          <w:rFonts w:ascii="Verdana" w:hAnsi="Verdana" w:cs="Arial"/>
          <w:b/>
          <w:sz w:val="20"/>
          <w:szCs w:val="20"/>
        </w:rPr>
        <w:t xml:space="preserve"> eventuales</w:t>
      </w:r>
      <w:r w:rsidRPr="00883640">
        <w:rPr>
          <w:rFonts w:ascii="Verdana" w:hAnsi="Verdana" w:cs="Arial"/>
          <w:b/>
          <w:sz w:val="20"/>
          <w:szCs w:val="20"/>
        </w:rPr>
        <w:t xml:space="preserve"> beneficiarios de la solicitud de </w:t>
      </w:r>
      <w:r>
        <w:rPr>
          <w:rFonts w:ascii="Verdana" w:hAnsi="Verdana" w:cs="Arial"/>
          <w:b/>
          <w:sz w:val="20"/>
          <w:szCs w:val="20"/>
        </w:rPr>
        <w:t xml:space="preserve">ampliación de </w:t>
      </w:r>
      <w:r w:rsidRPr="00883640">
        <w:rPr>
          <w:rFonts w:ascii="Verdana" w:hAnsi="Verdana" w:cs="Arial"/>
          <w:b/>
          <w:sz w:val="20"/>
          <w:szCs w:val="20"/>
        </w:rPr>
        <w:t>medidas provisionales</w:t>
      </w:r>
    </w:p>
    <w:p w14:paraId="6D166D87" w14:textId="77777777" w:rsidR="006A7E49" w:rsidRPr="006A7E49" w:rsidRDefault="006A7E49" w:rsidP="00B32AD3">
      <w:pPr>
        <w:pStyle w:val="Prrafodelista"/>
        <w:rPr>
          <w:rFonts w:ascii="Verdana" w:hAnsi="Verdana" w:cs="Arial"/>
          <w:sz w:val="10"/>
          <w:szCs w:val="10"/>
        </w:rPr>
      </w:pPr>
    </w:p>
    <w:p w14:paraId="1074D765" w14:textId="77777777" w:rsidR="0049545F" w:rsidRDefault="0049545F" w:rsidP="00B32AD3">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Tal como se indicó en la Resolución, </w:t>
      </w:r>
      <w:r w:rsidR="001A6EFA">
        <w:rPr>
          <w:rFonts w:ascii="Verdana" w:hAnsi="Verdana" w:cs="Arial"/>
          <w:sz w:val="20"/>
          <w:szCs w:val="20"/>
        </w:rPr>
        <w:t>l</w:t>
      </w:r>
      <w:r w:rsidR="001D4308">
        <w:rPr>
          <w:rFonts w:ascii="Verdana" w:hAnsi="Verdana" w:cs="Arial"/>
          <w:sz w:val="20"/>
          <w:szCs w:val="20"/>
        </w:rPr>
        <w:t>a</w:t>
      </w:r>
      <w:r w:rsidR="001A6EFA">
        <w:rPr>
          <w:rFonts w:ascii="Verdana" w:hAnsi="Verdana" w:cs="Arial"/>
          <w:sz w:val="20"/>
          <w:szCs w:val="20"/>
        </w:rPr>
        <w:t xml:space="preserve"> representante del caso </w:t>
      </w:r>
      <w:r w:rsidR="001A6EFA">
        <w:rPr>
          <w:rFonts w:ascii="Verdana" w:hAnsi="Verdana" w:cs="Arial"/>
          <w:i/>
          <w:sz w:val="20"/>
          <w:szCs w:val="20"/>
        </w:rPr>
        <w:t xml:space="preserve">Miembros de la Aldea </w:t>
      </w:r>
      <w:proofErr w:type="spellStart"/>
      <w:r w:rsidR="001A6EFA">
        <w:rPr>
          <w:rFonts w:ascii="Verdana" w:hAnsi="Verdana" w:cs="Arial"/>
          <w:i/>
          <w:sz w:val="20"/>
          <w:szCs w:val="20"/>
        </w:rPr>
        <w:t>Chichupac</w:t>
      </w:r>
      <w:proofErr w:type="spellEnd"/>
      <w:r w:rsidR="001A6EFA">
        <w:rPr>
          <w:rFonts w:ascii="Verdana" w:hAnsi="Verdana" w:cs="Arial"/>
          <w:i/>
          <w:sz w:val="20"/>
          <w:szCs w:val="20"/>
        </w:rPr>
        <w:t xml:space="preserve"> y comunidades vecinas del Municipio de Rabinal</w:t>
      </w:r>
      <w:r w:rsidR="001A6EFA">
        <w:rPr>
          <w:rFonts w:ascii="Verdana" w:hAnsi="Verdana" w:cs="Arial"/>
          <w:sz w:val="20"/>
          <w:szCs w:val="20"/>
        </w:rPr>
        <w:t xml:space="preserve"> </w:t>
      </w:r>
      <w:r w:rsidR="001D4308">
        <w:rPr>
          <w:rFonts w:ascii="Verdana" w:hAnsi="Verdana" w:cs="Arial"/>
          <w:sz w:val="20"/>
          <w:szCs w:val="20"/>
        </w:rPr>
        <w:t xml:space="preserve">solicitó </w:t>
      </w:r>
      <w:r w:rsidR="001A6EFA">
        <w:rPr>
          <w:rFonts w:ascii="Verdana" w:hAnsi="Verdana" w:cs="Arial"/>
          <w:sz w:val="20"/>
          <w:szCs w:val="20"/>
        </w:rPr>
        <w:t>que las medidas provisionales otorgadas mediante la Resolución de Corte de 12 de marzo de 2019 fuesen ampliadas respecto de los tres magistrados de la Corte de Constitucionalidad de Guatemala que emitieron un “amparo provisional” que ordenaba “dejar en suspenso el procedimiento de formación, sanción y promulgación de la iniciativa de ley No. 5377”. En concreto, solicitaron que el Tribunal ordenara medidas que hicieran “cesar de manera inmediata todo acto de persecución penal en contra” de los referidos Magistrados y, además, ordenar “a las autoridades judiciales del Estado […]</w:t>
      </w:r>
      <w:r w:rsidR="001D4308">
        <w:rPr>
          <w:rFonts w:ascii="Verdana" w:hAnsi="Verdana" w:cs="Arial"/>
          <w:sz w:val="20"/>
          <w:szCs w:val="20"/>
        </w:rPr>
        <w:t>,</w:t>
      </w:r>
      <w:r w:rsidR="001A6EFA">
        <w:rPr>
          <w:rFonts w:ascii="Verdana" w:hAnsi="Verdana" w:cs="Arial"/>
          <w:sz w:val="20"/>
          <w:szCs w:val="20"/>
        </w:rPr>
        <w:t xml:space="preserve"> que no pueden procesar a los jueces o magistrados por el ejercicio de la independencia judicial, ni tomarse represalias por hacer valer el control de convencionalidad en sus resoluciones judiciales”</w:t>
      </w:r>
      <w:r w:rsidR="00D05578">
        <w:rPr>
          <w:rStyle w:val="Refdenotaalpie"/>
          <w:rFonts w:ascii="Verdana" w:hAnsi="Verdana" w:cs="Arial"/>
          <w:sz w:val="20"/>
          <w:szCs w:val="20"/>
        </w:rPr>
        <w:footnoteReference w:id="7"/>
      </w:r>
      <w:r w:rsidR="001A6EFA">
        <w:rPr>
          <w:rFonts w:ascii="Verdana" w:hAnsi="Verdana" w:cs="Arial"/>
          <w:sz w:val="20"/>
          <w:szCs w:val="20"/>
        </w:rPr>
        <w:t>.</w:t>
      </w:r>
      <w:r w:rsidR="00D05578">
        <w:rPr>
          <w:rFonts w:ascii="Verdana" w:hAnsi="Verdana" w:cs="Arial"/>
          <w:sz w:val="20"/>
          <w:szCs w:val="20"/>
        </w:rPr>
        <w:t xml:space="preserve"> </w:t>
      </w:r>
    </w:p>
    <w:p w14:paraId="6D780133" w14:textId="77777777" w:rsidR="00D05578" w:rsidRPr="006A7E49" w:rsidRDefault="00D05578" w:rsidP="00D05578">
      <w:pPr>
        <w:pStyle w:val="Prrafodelista"/>
        <w:ind w:left="0"/>
        <w:jc w:val="both"/>
        <w:rPr>
          <w:rFonts w:ascii="Verdana" w:hAnsi="Verdana" w:cs="Arial"/>
          <w:sz w:val="10"/>
          <w:szCs w:val="10"/>
        </w:rPr>
      </w:pPr>
    </w:p>
    <w:p w14:paraId="2FD2F49E" w14:textId="77777777" w:rsidR="001A6EFA" w:rsidRDefault="00225DD5" w:rsidP="00B32AD3">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En este sentido, es pertinente recordar que el artículo 27.3 del Reglamento del Tribunal establece que “[e]n los casos contenciosos que se encuentren en conocimiento de la Corte, </w:t>
      </w:r>
      <w:r w:rsidRPr="00910412">
        <w:rPr>
          <w:rFonts w:ascii="Verdana" w:hAnsi="Verdana" w:cs="Arial"/>
          <w:sz w:val="20"/>
          <w:szCs w:val="20"/>
        </w:rPr>
        <w:t>las víctimas o las presuntas víctimas, o sus representantes, podrán presentar directamente a ésta una solicitud de medidas provisionales, las que deberán tener relación con el objeto del caso</w:t>
      </w:r>
      <w:r w:rsidR="00910412">
        <w:rPr>
          <w:rFonts w:ascii="Verdana" w:hAnsi="Verdana" w:cs="Arial"/>
          <w:sz w:val="20"/>
          <w:szCs w:val="20"/>
        </w:rPr>
        <w:t>”</w:t>
      </w:r>
      <w:r>
        <w:rPr>
          <w:rFonts w:ascii="Verdana" w:hAnsi="Verdana" w:cs="Arial"/>
          <w:sz w:val="20"/>
          <w:szCs w:val="20"/>
        </w:rPr>
        <w:t>.</w:t>
      </w:r>
    </w:p>
    <w:p w14:paraId="4AFF2B3D" w14:textId="77777777" w:rsidR="0049545F" w:rsidRPr="006A7E49" w:rsidRDefault="0049545F" w:rsidP="0049545F">
      <w:pPr>
        <w:pStyle w:val="Prrafodelista"/>
        <w:ind w:left="0"/>
        <w:jc w:val="both"/>
        <w:rPr>
          <w:rFonts w:ascii="Verdana" w:hAnsi="Verdana" w:cs="Arial"/>
          <w:sz w:val="10"/>
          <w:szCs w:val="10"/>
        </w:rPr>
      </w:pPr>
    </w:p>
    <w:p w14:paraId="3A2A94D5" w14:textId="77777777" w:rsidR="00225DD5" w:rsidRPr="00910412" w:rsidRDefault="00225DD5" w:rsidP="0049545F">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El objetivo de dicha disposición </w:t>
      </w:r>
      <w:r w:rsidR="00F90921">
        <w:rPr>
          <w:rFonts w:ascii="Verdana" w:hAnsi="Verdana" w:cs="Arial"/>
          <w:sz w:val="20"/>
          <w:szCs w:val="20"/>
        </w:rPr>
        <w:t xml:space="preserve">–además de proteger derechos humanos (carácter tutelar)- </w:t>
      </w:r>
      <w:r>
        <w:rPr>
          <w:rFonts w:ascii="Verdana" w:hAnsi="Verdana" w:cs="Arial"/>
          <w:sz w:val="20"/>
          <w:szCs w:val="20"/>
        </w:rPr>
        <w:t>es que la Corte pueda “asegurar la integridad y la efectividad de la decisión de fondo, y de esta manera evitar que se lesionen los derechos en litigio, situación que podría hacer inocua o desvirtuar el efecto útil de la Sentencia”</w:t>
      </w:r>
      <w:r w:rsidR="00F90921">
        <w:rPr>
          <w:rFonts w:ascii="Verdana" w:hAnsi="Verdana" w:cs="Arial"/>
          <w:sz w:val="20"/>
          <w:szCs w:val="20"/>
        </w:rPr>
        <w:t xml:space="preserve"> (carácter cautelar)</w:t>
      </w:r>
      <w:r>
        <w:rPr>
          <w:rStyle w:val="Refdenotaalpie"/>
          <w:rFonts w:ascii="Verdana" w:hAnsi="Verdana" w:cs="Arial"/>
          <w:sz w:val="20"/>
          <w:szCs w:val="20"/>
        </w:rPr>
        <w:footnoteReference w:id="8"/>
      </w:r>
      <w:r>
        <w:rPr>
          <w:rFonts w:ascii="Verdana" w:hAnsi="Verdana" w:cs="Arial"/>
          <w:sz w:val="20"/>
          <w:szCs w:val="20"/>
        </w:rPr>
        <w:t xml:space="preserve">. </w:t>
      </w:r>
      <w:r w:rsidR="00F90921">
        <w:rPr>
          <w:rFonts w:ascii="Verdana" w:hAnsi="Verdana" w:cs="Arial"/>
          <w:sz w:val="20"/>
          <w:szCs w:val="20"/>
        </w:rPr>
        <w:t xml:space="preserve">En aquellos casos que ya se encuentran en etapa de supervisión de cumplimiento, este carácter cautelar lleva implícito que las medidas provisionales </w:t>
      </w:r>
      <w:r w:rsidR="00F90921" w:rsidRPr="00910412">
        <w:rPr>
          <w:rFonts w:ascii="Verdana" w:hAnsi="Verdana" w:cs="Arial"/>
          <w:sz w:val="20"/>
          <w:szCs w:val="20"/>
        </w:rPr>
        <w:t>solicitadas deben tener como fin asegurar la efectividad de la Sentencia dictada por la Corte en favor de las víctimas declaradas en el Fallo internacional, pues es esencialmente a ellas a quienes afectará</w:t>
      </w:r>
      <w:r w:rsidR="00E75023" w:rsidRPr="00910412">
        <w:rPr>
          <w:rFonts w:ascii="Verdana" w:hAnsi="Verdana" w:cs="Arial"/>
          <w:sz w:val="20"/>
          <w:szCs w:val="20"/>
        </w:rPr>
        <w:t xml:space="preserve"> y perjudicará</w:t>
      </w:r>
      <w:r w:rsidR="00F90921" w:rsidRPr="00910412">
        <w:rPr>
          <w:rFonts w:ascii="Verdana" w:hAnsi="Verdana" w:cs="Arial"/>
          <w:sz w:val="20"/>
          <w:szCs w:val="20"/>
        </w:rPr>
        <w:t xml:space="preserve"> el incumplimiento de una Sentencia</w:t>
      </w:r>
      <w:r w:rsidR="00186C9B" w:rsidRPr="00910412">
        <w:rPr>
          <w:rFonts w:ascii="Verdana" w:hAnsi="Verdana" w:cs="Arial"/>
          <w:sz w:val="20"/>
          <w:szCs w:val="20"/>
        </w:rPr>
        <w:t xml:space="preserve"> y las reparaciones ordenadas a su favor</w:t>
      </w:r>
      <w:r w:rsidR="00F90921" w:rsidRPr="00910412">
        <w:rPr>
          <w:rStyle w:val="Refdenotaalpie"/>
          <w:rFonts w:ascii="Verdana" w:hAnsi="Verdana" w:cs="Arial"/>
          <w:sz w:val="20"/>
          <w:szCs w:val="20"/>
        </w:rPr>
        <w:footnoteReference w:id="9"/>
      </w:r>
      <w:r w:rsidR="00F90921" w:rsidRPr="00910412">
        <w:rPr>
          <w:rFonts w:ascii="Verdana" w:hAnsi="Verdana" w:cs="Arial"/>
          <w:sz w:val="20"/>
          <w:szCs w:val="20"/>
        </w:rPr>
        <w:t xml:space="preserve">. </w:t>
      </w:r>
    </w:p>
    <w:p w14:paraId="0E9C88C6" w14:textId="77777777" w:rsidR="00B612B9" w:rsidRPr="006A7E49" w:rsidRDefault="00B612B9" w:rsidP="00B612B9">
      <w:pPr>
        <w:pStyle w:val="Prrafodelista"/>
        <w:rPr>
          <w:rFonts w:ascii="Verdana" w:hAnsi="Verdana" w:cs="Arial"/>
          <w:sz w:val="10"/>
          <w:szCs w:val="10"/>
        </w:rPr>
      </w:pPr>
    </w:p>
    <w:p w14:paraId="2637BBCB" w14:textId="77777777" w:rsidR="00B612B9" w:rsidRPr="00910412" w:rsidRDefault="00B612B9" w:rsidP="00B612B9">
      <w:pPr>
        <w:pStyle w:val="Prrafodelista"/>
        <w:numPr>
          <w:ilvl w:val="0"/>
          <w:numId w:val="1"/>
        </w:numPr>
        <w:ind w:left="0" w:firstLine="0"/>
        <w:jc w:val="both"/>
        <w:rPr>
          <w:rFonts w:ascii="Verdana" w:hAnsi="Verdana" w:cs="Arial"/>
          <w:sz w:val="20"/>
          <w:szCs w:val="20"/>
        </w:rPr>
      </w:pPr>
      <w:r w:rsidRPr="00910412">
        <w:rPr>
          <w:rFonts w:ascii="Verdana" w:hAnsi="Verdana" w:cs="Arial"/>
          <w:sz w:val="20"/>
          <w:szCs w:val="20"/>
        </w:rPr>
        <w:t>A la luz de lo anterior, y tal como ya he sostenido con anterioridad</w:t>
      </w:r>
      <w:r w:rsidRPr="00910412">
        <w:rPr>
          <w:rStyle w:val="Refdenotaalpie"/>
          <w:rFonts w:ascii="Verdana" w:hAnsi="Verdana" w:cs="Arial"/>
          <w:sz w:val="20"/>
          <w:szCs w:val="20"/>
        </w:rPr>
        <w:footnoteReference w:id="10"/>
      </w:r>
      <w:r w:rsidRPr="00910412">
        <w:rPr>
          <w:rFonts w:ascii="Verdana" w:hAnsi="Verdana" w:cs="Arial"/>
          <w:sz w:val="20"/>
          <w:szCs w:val="20"/>
        </w:rPr>
        <w:t>, no es conforme a la normativa citada la posibilidad de que los representantes de las víctimas puedan presentar solicitudes de medidas provisionales -en casos bajo conocimiento de la Corte- en nombre de terceros que no tienen carácter de supuesta víctima o víctima</w:t>
      </w:r>
      <w:r w:rsidR="002532E5" w:rsidRPr="00910412">
        <w:rPr>
          <w:rFonts w:ascii="Verdana" w:hAnsi="Verdana" w:cs="Arial"/>
          <w:sz w:val="20"/>
          <w:szCs w:val="20"/>
        </w:rPr>
        <w:t>.</w:t>
      </w:r>
      <w:r w:rsidRPr="00910412">
        <w:rPr>
          <w:rFonts w:ascii="Verdana" w:hAnsi="Verdana" w:cs="Arial"/>
          <w:sz w:val="20"/>
          <w:szCs w:val="20"/>
        </w:rPr>
        <w:t xml:space="preserve"> </w:t>
      </w:r>
      <w:r w:rsidR="002532E5" w:rsidRPr="00910412">
        <w:rPr>
          <w:rFonts w:ascii="Verdana" w:hAnsi="Verdana" w:cs="Arial"/>
          <w:sz w:val="20"/>
          <w:szCs w:val="20"/>
        </w:rPr>
        <w:t>Dicho de otra manera, los representantes de las víctimas carecen de legitimación para solicitar medidas provisionales a favor de terceros que no fueron parte del caso y a quienes, por lo tanto, no están legitimados para representar ante la Corte.</w:t>
      </w:r>
    </w:p>
    <w:p w14:paraId="432C2680" w14:textId="77777777" w:rsidR="00B612B9" w:rsidRPr="006A7E49" w:rsidRDefault="00B612B9" w:rsidP="00B612B9">
      <w:pPr>
        <w:pStyle w:val="Prrafodelista"/>
        <w:rPr>
          <w:rFonts w:ascii="Verdana" w:hAnsi="Verdana" w:cs="Arial"/>
          <w:sz w:val="10"/>
          <w:szCs w:val="10"/>
        </w:rPr>
      </w:pPr>
    </w:p>
    <w:p w14:paraId="0FCDC87B" w14:textId="77777777" w:rsidR="0028598C" w:rsidRPr="00910412" w:rsidRDefault="00B612B9" w:rsidP="0028598C">
      <w:pPr>
        <w:pStyle w:val="Prrafodelista"/>
        <w:numPr>
          <w:ilvl w:val="0"/>
          <w:numId w:val="1"/>
        </w:numPr>
        <w:ind w:left="0" w:firstLine="0"/>
        <w:jc w:val="both"/>
        <w:rPr>
          <w:rFonts w:ascii="Verdana" w:hAnsi="Verdana" w:cs="Arial"/>
          <w:sz w:val="20"/>
          <w:szCs w:val="20"/>
        </w:rPr>
      </w:pPr>
      <w:r w:rsidRPr="00910412">
        <w:rPr>
          <w:rFonts w:ascii="Verdana" w:hAnsi="Verdana" w:cs="Arial"/>
          <w:sz w:val="20"/>
          <w:szCs w:val="20"/>
        </w:rPr>
        <w:t xml:space="preserve">En el </w:t>
      </w:r>
      <w:r w:rsidR="00D05578" w:rsidRPr="00910412">
        <w:rPr>
          <w:rFonts w:ascii="Verdana" w:hAnsi="Verdana" w:cs="Arial"/>
          <w:sz w:val="20"/>
          <w:szCs w:val="20"/>
        </w:rPr>
        <w:t>presente caso</w:t>
      </w:r>
      <w:r w:rsidRPr="00910412">
        <w:rPr>
          <w:rFonts w:ascii="Verdana" w:hAnsi="Verdana" w:cs="Arial"/>
          <w:sz w:val="20"/>
          <w:szCs w:val="20"/>
        </w:rPr>
        <w:t>, debe recordarse que el Tribunal ordenó la interrupción del trámite legislativo</w:t>
      </w:r>
      <w:r w:rsidR="00CC7329" w:rsidRPr="00910412">
        <w:rPr>
          <w:rFonts w:ascii="Verdana" w:hAnsi="Verdana" w:cs="Arial"/>
          <w:sz w:val="20"/>
          <w:szCs w:val="20"/>
        </w:rPr>
        <w:t xml:space="preserve"> y archivo</w:t>
      </w:r>
      <w:r w:rsidRPr="00910412">
        <w:rPr>
          <w:rFonts w:ascii="Verdana" w:hAnsi="Verdana" w:cs="Arial"/>
          <w:sz w:val="20"/>
          <w:szCs w:val="20"/>
        </w:rPr>
        <w:t xml:space="preserve"> de la iniciativa de ley 5377</w:t>
      </w:r>
      <w:r w:rsidR="00CC7329" w:rsidRPr="00910412">
        <w:rPr>
          <w:rFonts w:ascii="Verdana" w:hAnsi="Verdana" w:cs="Arial"/>
          <w:sz w:val="20"/>
          <w:szCs w:val="20"/>
        </w:rPr>
        <w:t>,</w:t>
      </w:r>
      <w:r w:rsidRPr="00910412">
        <w:rPr>
          <w:rFonts w:ascii="Verdana" w:hAnsi="Verdana" w:cs="Arial"/>
          <w:sz w:val="20"/>
          <w:szCs w:val="20"/>
        </w:rPr>
        <w:t xml:space="preserve"> que pretende reformar la Ley de Reconciliación Nacional de 1996, concediendo una amnistía para todas las graves violaciones cometidas durante el conflicto armado interno</w:t>
      </w:r>
      <w:r w:rsidR="00CC7329" w:rsidRPr="00910412">
        <w:rPr>
          <w:rFonts w:ascii="Verdana" w:hAnsi="Verdana" w:cs="Arial"/>
          <w:sz w:val="20"/>
          <w:szCs w:val="20"/>
        </w:rPr>
        <w:t>,</w:t>
      </w:r>
      <w:r w:rsidRPr="00910412">
        <w:rPr>
          <w:rFonts w:ascii="Verdana" w:hAnsi="Verdana" w:cs="Arial"/>
          <w:sz w:val="20"/>
          <w:szCs w:val="20"/>
        </w:rPr>
        <w:t xml:space="preserve"> </w:t>
      </w:r>
      <w:r w:rsidR="0028598C" w:rsidRPr="00910412">
        <w:rPr>
          <w:rFonts w:ascii="Verdana" w:hAnsi="Verdana" w:cs="Arial"/>
          <w:sz w:val="20"/>
          <w:szCs w:val="20"/>
        </w:rPr>
        <w:t xml:space="preserve">debido a que “[d]e aprobarse la referida iniciativa de ley […] </w:t>
      </w:r>
      <w:r w:rsidR="0028598C" w:rsidRPr="00910412">
        <w:rPr>
          <w:rFonts w:ascii="Verdana" w:hAnsi="Verdana"/>
          <w:sz w:val="20"/>
          <w:szCs w:val="20"/>
        </w:rPr>
        <w:t xml:space="preserve">el Estado incurriría en una afectación de la cosa juzgada internacional respecto de </w:t>
      </w:r>
      <w:r w:rsidR="00A16FCD">
        <w:rPr>
          <w:rFonts w:ascii="Verdana" w:hAnsi="Verdana"/>
          <w:sz w:val="20"/>
          <w:szCs w:val="20"/>
        </w:rPr>
        <w:t xml:space="preserve">las </w:t>
      </w:r>
      <w:r w:rsidR="0028598C" w:rsidRPr="00910412">
        <w:rPr>
          <w:rFonts w:ascii="Verdana" w:hAnsi="Verdana"/>
          <w:sz w:val="20"/>
          <w:szCs w:val="20"/>
        </w:rPr>
        <w:t xml:space="preserve">Sentencias dictadas por esta Corte </w:t>
      </w:r>
      <w:r w:rsidR="00A16FCD">
        <w:rPr>
          <w:rFonts w:ascii="Verdana" w:hAnsi="Verdana"/>
          <w:sz w:val="20"/>
          <w:szCs w:val="20"/>
        </w:rPr>
        <w:t xml:space="preserve">en </w:t>
      </w:r>
      <w:r w:rsidR="0028598C" w:rsidRPr="00910412">
        <w:rPr>
          <w:rFonts w:ascii="Verdana" w:hAnsi="Verdana"/>
          <w:sz w:val="20"/>
          <w:szCs w:val="20"/>
        </w:rPr>
        <w:t>[</w:t>
      </w:r>
      <w:r w:rsidR="00A16FCD">
        <w:rPr>
          <w:rFonts w:ascii="Verdana" w:hAnsi="Verdana"/>
          <w:sz w:val="20"/>
          <w:szCs w:val="20"/>
        </w:rPr>
        <w:t xml:space="preserve">catorce casos </w:t>
      </w:r>
      <w:r w:rsidR="0028598C" w:rsidRPr="00910412">
        <w:rPr>
          <w:rFonts w:ascii="Verdana" w:hAnsi="Verdana"/>
          <w:sz w:val="20"/>
          <w:szCs w:val="20"/>
        </w:rPr>
        <w:t>…]</w:t>
      </w:r>
      <w:r w:rsidR="00A16FCD">
        <w:rPr>
          <w:rFonts w:ascii="Verdana" w:hAnsi="Verdana"/>
          <w:sz w:val="20"/>
          <w:szCs w:val="20"/>
        </w:rPr>
        <w:t>,</w:t>
      </w:r>
      <w:r w:rsidR="0028598C" w:rsidRPr="00910412">
        <w:rPr>
          <w:rFonts w:ascii="Verdana" w:hAnsi="Verdana"/>
          <w:sz w:val="20"/>
          <w:szCs w:val="20"/>
        </w:rPr>
        <w:t xml:space="preserve"> en los que se ordenó la investigación, juzgamiento y eventual, sanción de graves violaciones a los derechos humanos cometidas o </w:t>
      </w:r>
      <w:proofErr w:type="spellStart"/>
      <w:r w:rsidR="0028598C" w:rsidRPr="00910412">
        <w:rPr>
          <w:rFonts w:ascii="Verdana" w:hAnsi="Verdana"/>
          <w:sz w:val="20"/>
          <w:szCs w:val="20"/>
        </w:rPr>
        <w:t>alegadamente</w:t>
      </w:r>
      <w:proofErr w:type="spellEnd"/>
      <w:r w:rsidR="0028598C" w:rsidRPr="00910412">
        <w:rPr>
          <w:rFonts w:ascii="Verdana" w:hAnsi="Verdana"/>
          <w:sz w:val="20"/>
          <w:szCs w:val="20"/>
        </w:rPr>
        <w:t xml:space="preserve"> ocurridas durante el conflicto armado interno”.</w:t>
      </w:r>
      <w:r w:rsidR="00D6185A" w:rsidRPr="00910412">
        <w:rPr>
          <w:rFonts w:ascii="Verdana" w:hAnsi="Verdana"/>
          <w:sz w:val="20"/>
          <w:szCs w:val="20"/>
        </w:rPr>
        <w:t xml:space="preserve"> Por tanto, tal como se indicó </w:t>
      </w:r>
      <w:r w:rsidR="00D05578" w:rsidRPr="00910412">
        <w:rPr>
          <w:rFonts w:ascii="Verdana" w:hAnsi="Verdana"/>
          <w:sz w:val="20"/>
          <w:szCs w:val="20"/>
        </w:rPr>
        <w:t>desde</w:t>
      </w:r>
      <w:r w:rsidR="00D6185A" w:rsidRPr="00910412">
        <w:rPr>
          <w:rFonts w:ascii="Verdana" w:hAnsi="Verdana"/>
          <w:sz w:val="20"/>
          <w:szCs w:val="20"/>
        </w:rPr>
        <w:t xml:space="preserve"> la Resolución de 12 de marzo de 2019, el objetivo de la referida medida provisional es “garantizar el derecho al acceso a la justicia de las víctimas” de los referidos catorce casos.</w:t>
      </w:r>
    </w:p>
    <w:p w14:paraId="6490D133" w14:textId="77777777" w:rsidR="00D6185A" w:rsidRPr="006A7E49" w:rsidRDefault="00D6185A" w:rsidP="00D6185A">
      <w:pPr>
        <w:pStyle w:val="Prrafodelista"/>
        <w:rPr>
          <w:rFonts w:ascii="Verdana" w:hAnsi="Verdana" w:cs="Arial"/>
          <w:sz w:val="10"/>
          <w:szCs w:val="10"/>
        </w:rPr>
      </w:pPr>
    </w:p>
    <w:p w14:paraId="22B68C69" w14:textId="77777777" w:rsidR="002532E5" w:rsidRDefault="00D6185A" w:rsidP="00D6185A">
      <w:pPr>
        <w:pStyle w:val="Prrafodelista"/>
        <w:numPr>
          <w:ilvl w:val="0"/>
          <w:numId w:val="1"/>
        </w:numPr>
        <w:ind w:left="0" w:firstLine="0"/>
        <w:jc w:val="both"/>
        <w:rPr>
          <w:rFonts w:ascii="Verdana" w:hAnsi="Verdana" w:cs="Arial"/>
          <w:sz w:val="20"/>
          <w:szCs w:val="20"/>
        </w:rPr>
      </w:pPr>
      <w:r w:rsidRPr="00910412">
        <w:rPr>
          <w:rFonts w:ascii="Verdana" w:hAnsi="Verdana" w:cs="Arial"/>
          <w:sz w:val="20"/>
          <w:szCs w:val="20"/>
        </w:rPr>
        <w:t>De esta manera, el universo de los eventuales beneficiarios de las medidas provisionales que puede adoptar la Corte en el marco de la supervisión del cumplimiento de los catorce casos son únicamente aquellas víctimas respecto de las cuales se había declarado violado el derecho de acceso a la justicia</w:t>
      </w:r>
      <w:r w:rsidR="002E315C">
        <w:rPr>
          <w:rFonts w:ascii="Verdana" w:hAnsi="Verdana" w:cs="Arial"/>
          <w:sz w:val="20"/>
          <w:szCs w:val="20"/>
        </w:rPr>
        <w:t xml:space="preserve"> en las respectivas </w:t>
      </w:r>
      <w:r w:rsidR="002E315C">
        <w:rPr>
          <w:rFonts w:ascii="Verdana" w:hAnsi="Verdana" w:cs="Arial"/>
          <w:sz w:val="20"/>
          <w:szCs w:val="20"/>
        </w:rPr>
        <w:lastRenderedPageBreak/>
        <w:t>Sentencias emitidas por este Tribunal</w:t>
      </w:r>
      <w:r w:rsidRPr="00910412">
        <w:rPr>
          <w:rFonts w:ascii="Verdana" w:hAnsi="Verdana" w:cs="Arial"/>
          <w:sz w:val="20"/>
          <w:szCs w:val="20"/>
        </w:rPr>
        <w:t xml:space="preserve">. Tal como he señalado </w:t>
      </w:r>
      <w:r w:rsidR="00D05578" w:rsidRPr="00910412">
        <w:rPr>
          <w:rFonts w:ascii="Verdana" w:hAnsi="Verdana" w:cs="Arial"/>
          <w:sz w:val="20"/>
          <w:szCs w:val="20"/>
        </w:rPr>
        <w:t>en otra ocasión</w:t>
      </w:r>
      <w:r w:rsidR="002532E5" w:rsidRPr="00910412">
        <w:rPr>
          <w:rStyle w:val="Refdenotaalpie"/>
          <w:rFonts w:ascii="Verdana" w:hAnsi="Verdana" w:cs="Arial"/>
          <w:sz w:val="20"/>
          <w:szCs w:val="20"/>
        </w:rPr>
        <w:footnoteReference w:id="11"/>
      </w:r>
      <w:r w:rsidRPr="00910412">
        <w:rPr>
          <w:rFonts w:ascii="Verdana" w:hAnsi="Verdana" w:cs="Arial"/>
          <w:sz w:val="20"/>
          <w:szCs w:val="20"/>
        </w:rPr>
        <w:t xml:space="preserve">, desde esa perspectiva es claro que los </w:t>
      </w:r>
      <w:r w:rsidR="0095038E" w:rsidRPr="00910412">
        <w:rPr>
          <w:rFonts w:ascii="Verdana" w:hAnsi="Verdana" w:cs="Arial"/>
          <w:sz w:val="20"/>
          <w:szCs w:val="20"/>
        </w:rPr>
        <w:t xml:space="preserve">tres </w:t>
      </w:r>
      <w:r w:rsidRPr="00910412">
        <w:rPr>
          <w:rFonts w:ascii="Verdana" w:hAnsi="Verdana" w:cs="Arial"/>
          <w:sz w:val="20"/>
          <w:szCs w:val="20"/>
        </w:rPr>
        <w:t>magistrados de la Corte de Constitucionalidad de Guatemala que dictaron el “</w:t>
      </w:r>
      <w:r>
        <w:rPr>
          <w:rFonts w:ascii="Verdana" w:hAnsi="Verdana" w:cs="Arial"/>
          <w:sz w:val="20"/>
          <w:szCs w:val="20"/>
        </w:rPr>
        <w:t>amparo provisional” no son víctimas reconocidas en ninguna de las catorce sentencias y por lo tanto no pueden ser beneficiarios de medidas</w:t>
      </w:r>
      <w:r w:rsidR="002E315C">
        <w:rPr>
          <w:rFonts w:ascii="Verdana" w:hAnsi="Verdana" w:cs="Arial"/>
          <w:sz w:val="20"/>
          <w:szCs w:val="20"/>
        </w:rPr>
        <w:t xml:space="preserve"> provisionales</w:t>
      </w:r>
      <w:r>
        <w:rPr>
          <w:rFonts w:ascii="Verdana" w:hAnsi="Verdana" w:cs="Arial"/>
          <w:sz w:val="20"/>
          <w:szCs w:val="20"/>
        </w:rPr>
        <w:t xml:space="preserve"> adoptadas en el curso de la supervisión del cumplimiento de sentencia. </w:t>
      </w:r>
    </w:p>
    <w:p w14:paraId="50356DC9" w14:textId="77777777" w:rsidR="002532E5" w:rsidRPr="006A7E49" w:rsidRDefault="002532E5" w:rsidP="002532E5">
      <w:pPr>
        <w:pStyle w:val="Prrafodelista"/>
        <w:rPr>
          <w:rFonts w:ascii="Verdana" w:hAnsi="Verdana" w:cs="Arial"/>
          <w:sz w:val="10"/>
          <w:szCs w:val="10"/>
        </w:rPr>
      </w:pPr>
    </w:p>
    <w:p w14:paraId="2CC1A976" w14:textId="77777777" w:rsidR="00533AFB" w:rsidRDefault="002532E5" w:rsidP="0095038E">
      <w:pPr>
        <w:pStyle w:val="Prrafodelista"/>
        <w:numPr>
          <w:ilvl w:val="0"/>
          <w:numId w:val="1"/>
        </w:numPr>
        <w:ind w:left="0" w:firstLine="0"/>
        <w:jc w:val="both"/>
        <w:rPr>
          <w:rFonts w:ascii="Verdana" w:hAnsi="Verdana" w:cs="Arial"/>
          <w:sz w:val="20"/>
          <w:szCs w:val="20"/>
        </w:rPr>
      </w:pPr>
      <w:r w:rsidRPr="0095038E">
        <w:rPr>
          <w:rFonts w:ascii="Verdana" w:hAnsi="Verdana" w:cs="Arial"/>
          <w:sz w:val="20"/>
          <w:szCs w:val="20"/>
        </w:rPr>
        <w:t xml:space="preserve">Lo anterior no </w:t>
      </w:r>
      <w:r w:rsidR="0095038E" w:rsidRPr="0095038E">
        <w:rPr>
          <w:rFonts w:ascii="Verdana" w:hAnsi="Verdana" w:cs="Arial"/>
          <w:sz w:val="20"/>
          <w:szCs w:val="20"/>
        </w:rPr>
        <w:t xml:space="preserve">niega que </w:t>
      </w:r>
      <w:r w:rsidRPr="0095038E">
        <w:rPr>
          <w:rFonts w:ascii="Verdana" w:hAnsi="Verdana" w:cs="Arial"/>
          <w:sz w:val="20"/>
          <w:szCs w:val="20"/>
        </w:rPr>
        <w:t>los</w:t>
      </w:r>
      <w:r w:rsidR="0095038E" w:rsidRPr="0095038E">
        <w:rPr>
          <w:rFonts w:ascii="Verdana" w:hAnsi="Verdana" w:cs="Arial"/>
          <w:sz w:val="20"/>
          <w:szCs w:val="20"/>
        </w:rPr>
        <w:t xml:space="preserve"> referidos tres</w:t>
      </w:r>
      <w:r w:rsidRPr="0095038E">
        <w:rPr>
          <w:rFonts w:ascii="Verdana" w:hAnsi="Verdana" w:cs="Arial"/>
          <w:sz w:val="20"/>
          <w:szCs w:val="20"/>
        </w:rPr>
        <w:t xml:space="preserve"> magistrados de la Corte de Constitucionalidad tomaron una decisión </w:t>
      </w:r>
      <w:r w:rsidR="0095038E" w:rsidRPr="0095038E">
        <w:rPr>
          <w:rFonts w:ascii="Verdana" w:hAnsi="Verdana" w:cs="Arial"/>
          <w:sz w:val="20"/>
          <w:szCs w:val="20"/>
        </w:rPr>
        <w:t>que podría resultar clave</w:t>
      </w:r>
      <w:r w:rsidRPr="0095038E">
        <w:rPr>
          <w:rFonts w:ascii="Verdana" w:hAnsi="Verdana" w:cs="Arial"/>
          <w:sz w:val="20"/>
          <w:szCs w:val="20"/>
        </w:rPr>
        <w:t xml:space="preserve"> </w:t>
      </w:r>
      <w:r w:rsidR="0095038E" w:rsidRPr="0095038E">
        <w:rPr>
          <w:rFonts w:ascii="Verdana" w:hAnsi="Verdana" w:cs="Arial"/>
          <w:sz w:val="20"/>
          <w:szCs w:val="20"/>
        </w:rPr>
        <w:t>para</w:t>
      </w:r>
      <w:r w:rsidRPr="0095038E">
        <w:rPr>
          <w:rFonts w:ascii="Verdana" w:hAnsi="Verdana" w:cs="Arial"/>
          <w:sz w:val="20"/>
          <w:szCs w:val="20"/>
        </w:rPr>
        <w:t xml:space="preserve"> la ejecuci</w:t>
      </w:r>
      <w:r w:rsidR="0095038E" w:rsidRPr="0095038E">
        <w:rPr>
          <w:rFonts w:ascii="Verdana" w:hAnsi="Verdana" w:cs="Arial"/>
          <w:sz w:val="20"/>
          <w:szCs w:val="20"/>
        </w:rPr>
        <w:t xml:space="preserve">ón de </w:t>
      </w:r>
      <w:r w:rsidR="00771D1D">
        <w:rPr>
          <w:rFonts w:ascii="Verdana" w:hAnsi="Verdana" w:cs="Arial"/>
          <w:sz w:val="20"/>
          <w:szCs w:val="20"/>
        </w:rPr>
        <w:t>la medida provisional</w:t>
      </w:r>
      <w:r w:rsidR="0095038E" w:rsidRPr="0095038E">
        <w:rPr>
          <w:rFonts w:ascii="Verdana" w:hAnsi="Verdana" w:cs="Arial"/>
          <w:sz w:val="20"/>
          <w:szCs w:val="20"/>
        </w:rPr>
        <w:t xml:space="preserve"> ordenada a Guatemala en el punto resolutivo segundo de la Resolución de 12 de marzo de 2019</w:t>
      </w:r>
      <w:r w:rsidR="00533AFB">
        <w:rPr>
          <w:rFonts w:ascii="Verdana" w:hAnsi="Verdana" w:cs="Arial"/>
          <w:sz w:val="20"/>
          <w:szCs w:val="20"/>
        </w:rPr>
        <w:t xml:space="preserve">. </w:t>
      </w:r>
      <w:r w:rsidR="00D05578">
        <w:rPr>
          <w:rFonts w:ascii="Verdana" w:hAnsi="Verdana" w:cs="Arial"/>
          <w:sz w:val="20"/>
          <w:szCs w:val="20"/>
        </w:rPr>
        <w:t>No obstante ello, los</w:t>
      </w:r>
      <w:r w:rsidR="00533AFB">
        <w:rPr>
          <w:rFonts w:ascii="Verdana" w:hAnsi="Verdana" w:cs="Arial"/>
          <w:sz w:val="20"/>
          <w:szCs w:val="20"/>
        </w:rPr>
        <w:t xml:space="preserve"> efectos que dicho “amparo provisional” pueda llegar a tener en el trámite legislativo de la mencionada iniciativa de ley deberán </w:t>
      </w:r>
      <w:r w:rsidR="00771D1D">
        <w:rPr>
          <w:rFonts w:ascii="Verdana" w:hAnsi="Verdana" w:cs="Arial"/>
          <w:sz w:val="20"/>
          <w:szCs w:val="20"/>
        </w:rPr>
        <w:t>ser analizado</w:t>
      </w:r>
      <w:r w:rsidR="00533AFB">
        <w:rPr>
          <w:rFonts w:ascii="Verdana" w:hAnsi="Verdana" w:cs="Arial"/>
          <w:sz w:val="20"/>
          <w:szCs w:val="20"/>
        </w:rPr>
        <w:t>s</w:t>
      </w:r>
      <w:r w:rsidR="00771D1D">
        <w:rPr>
          <w:rFonts w:ascii="Verdana" w:hAnsi="Verdana" w:cs="Arial"/>
          <w:sz w:val="20"/>
          <w:szCs w:val="20"/>
        </w:rPr>
        <w:t xml:space="preserve"> en el marco de la supervisión de la ejecución de la </w:t>
      </w:r>
      <w:r w:rsidR="00533AFB">
        <w:rPr>
          <w:rFonts w:ascii="Verdana" w:hAnsi="Verdana" w:cs="Arial"/>
          <w:sz w:val="20"/>
          <w:szCs w:val="20"/>
        </w:rPr>
        <w:t xml:space="preserve">referida </w:t>
      </w:r>
      <w:r w:rsidR="00771D1D">
        <w:rPr>
          <w:rFonts w:ascii="Verdana" w:hAnsi="Verdana" w:cs="Arial"/>
          <w:sz w:val="20"/>
          <w:szCs w:val="20"/>
        </w:rPr>
        <w:t>medida provisional</w:t>
      </w:r>
      <w:r w:rsidR="00D05578">
        <w:rPr>
          <w:rFonts w:ascii="Verdana" w:hAnsi="Verdana" w:cs="Arial"/>
          <w:sz w:val="20"/>
          <w:szCs w:val="20"/>
        </w:rPr>
        <w:t xml:space="preserve"> ordenada a favor de las víctimas de los catorce casos</w:t>
      </w:r>
      <w:r w:rsidR="00533AFB">
        <w:rPr>
          <w:rFonts w:ascii="Verdana" w:hAnsi="Verdana" w:cs="Arial"/>
          <w:sz w:val="20"/>
          <w:szCs w:val="20"/>
        </w:rPr>
        <w:t>, tal como se estableció en la Resolución</w:t>
      </w:r>
      <w:r w:rsidR="00CE1268">
        <w:rPr>
          <w:rStyle w:val="Refdenotaalpie"/>
          <w:rFonts w:ascii="Verdana" w:hAnsi="Verdana" w:cs="Arial"/>
          <w:sz w:val="20"/>
          <w:szCs w:val="20"/>
        </w:rPr>
        <w:footnoteReference w:id="12"/>
      </w:r>
      <w:r w:rsidR="00533AFB">
        <w:rPr>
          <w:rFonts w:ascii="Verdana" w:hAnsi="Verdana" w:cs="Arial"/>
          <w:sz w:val="20"/>
          <w:szCs w:val="20"/>
        </w:rPr>
        <w:t>.</w:t>
      </w:r>
      <w:r w:rsidR="00771D1D">
        <w:rPr>
          <w:rFonts w:ascii="Verdana" w:hAnsi="Verdana" w:cs="Arial"/>
          <w:sz w:val="20"/>
          <w:szCs w:val="20"/>
        </w:rPr>
        <w:t xml:space="preserve"> </w:t>
      </w:r>
    </w:p>
    <w:p w14:paraId="1C8EEDDC" w14:textId="77777777" w:rsidR="00533AFB" w:rsidRPr="006A7E49" w:rsidRDefault="00533AFB" w:rsidP="00533AFB">
      <w:pPr>
        <w:pStyle w:val="Prrafodelista"/>
        <w:rPr>
          <w:rFonts w:ascii="Verdana" w:hAnsi="Verdana" w:cs="Arial"/>
          <w:sz w:val="10"/>
          <w:szCs w:val="10"/>
        </w:rPr>
      </w:pPr>
    </w:p>
    <w:p w14:paraId="3247CA2B" w14:textId="77777777" w:rsidR="0095038E" w:rsidRPr="0095038E" w:rsidRDefault="00533AFB" w:rsidP="0095038E">
      <w:pPr>
        <w:pStyle w:val="Prrafodelista"/>
        <w:numPr>
          <w:ilvl w:val="0"/>
          <w:numId w:val="1"/>
        </w:numPr>
        <w:ind w:left="0" w:firstLine="0"/>
        <w:jc w:val="both"/>
        <w:rPr>
          <w:rFonts w:ascii="Verdana" w:hAnsi="Verdana" w:cs="Arial"/>
          <w:sz w:val="20"/>
          <w:szCs w:val="20"/>
        </w:rPr>
      </w:pPr>
      <w:r>
        <w:rPr>
          <w:rFonts w:ascii="Verdana" w:hAnsi="Verdana" w:cs="Arial"/>
          <w:sz w:val="20"/>
          <w:szCs w:val="20"/>
        </w:rPr>
        <w:t xml:space="preserve">Por otra parte, lo dicho </w:t>
      </w:r>
      <w:r w:rsidR="0095038E" w:rsidRPr="0095038E">
        <w:rPr>
          <w:rFonts w:ascii="Verdana" w:hAnsi="Verdana" w:cs="Arial"/>
          <w:sz w:val="20"/>
          <w:szCs w:val="20"/>
        </w:rPr>
        <w:t xml:space="preserve">tampoco </w:t>
      </w:r>
      <w:r w:rsidR="0095038E">
        <w:rPr>
          <w:rFonts w:ascii="Verdana" w:hAnsi="Verdana" w:cs="Arial"/>
          <w:sz w:val="20"/>
          <w:szCs w:val="20"/>
        </w:rPr>
        <w:t>niega que el “procedimiento de antejuicio”</w:t>
      </w:r>
      <w:r w:rsidR="00653509">
        <w:rPr>
          <w:rFonts w:ascii="Verdana" w:hAnsi="Verdana" w:cs="Arial"/>
          <w:sz w:val="20"/>
          <w:szCs w:val="20"/>
        </w:rPr>
        <w:t xml:space="preserve"> y “posible investigación penal”</w:t>
      </w:r>
      <w:r w:rsidR="0095038E">
        <w:rPr>
          <w:rFonts w:ascii="Verdana" w:hAnsi="Verdana" w:cs="Arial"/>
          <w:sz w:val="20"/>
          <w:szCs w:val="20"/>
        </w:rPr>
        <w:t xml:space="preserve"> contra los referidos </w:t>
      </w:r>
      <w:r w:rsidR="00653509">
        <w:rPr>
          <w:rFonts w:ascii="Verdana" w:hAnsi="Verdana" w:cs="Arial"/>
          <w:sz w:val="20"/>
          <w:szCs w:val="20"/>
        </w:rPr>
        <w:t xml:space="preserve">tres </w:t>
      </w:r>
      <w:r w:rsidR="001D4308">
        <w:rPr>
          <w:rFonts w:ascii="Verdana" w:hAnsi="Verdana" w:cs="Arial"/>
          <w:sz w:val="20"/>
          <w:szCs w:val="20"/>
        </w:rPr>
        <w:t>m</w:t>
      </w:r>
      <w:r w:rsidR="00653509">
        <w:rPr>
          <w:rFonts w:ascii="Verdana" w:hAnsi="Verdana" w:cs="Arial"/>
          <w:sz w:val="20"/>
          <w:szCs w:val="20"/>
        </w:rPr>
        <w:t xml:space="preserve">agistrados </w:t>
      </w:r>
      <w:r w:rsidR="0095038E">
        <w:rPr>
          <w:rFonts w:ascii="Verdana" w:hAnsi="Verdana" w:cs="Arial"/>
          <w:sz w:val="20"/>
          <w:szCs w:val="20"/>
        </w:rPr>
        <w:t xml:space="preserve">pueda </w:t>
      </w:r>
      <w:r w:rsidR="0095038E" w:rsidRPr="0095038E">
        <w:rPr>
          <w:rFonts w:ascii="Verdana" w:hAnsi="Verdana" w:cs="Arial"/>
          <w:sz w:val="20"/>
          <w:szCs w:val="20"/>
        </w:rPr>
        <w:t xml:space="preserve">eventualmente </w:t>
      </w:r>
      <w:r w:rsidR="0095038E">
        <w:rPr>
          <w:rFonts w:ascii="Verdana" w:hAnsi="Verdana" w:cs="Arial"/>
          <w:sz w:val="20"/>
          <w:szCs w:val="20"/>
        </w:rPr>
        <w:t xml:space="preserve">llegar a </w:t>
      </w:r>
      <w:r w:rsidR="0095038E" w:rsidRPr="0095038E">
        <w:rPr>
          <w:rFonts w:ascii="Verdana" w:hAnsi="Verdana" w:cs="Arial"/>
          <w:sz w:val="20"/>
          <w:szCs w:val="20"/>
        </w:rPr>
        <w:t xml:space="preserve">afectar </w:t>
      </w:r>
      <w:r w:rsidR="00D05578">
        <w:rPr>
          <w:rFonts w:ascii="Verdana" w:hAnsi="Verdana" w:cs="Arial"/>
          <w:sz w:val="20"/>
          <w:szCs w:val="20"/>
        </w:rPr>
        <w:t>su</w:t>
      </w:r>
      <w:r w:rsidR="0095038E" w:rsidRPr="0095038E">
        <w:rPr>
          <w:rFonts w:ascii="Verdana" w:hAnsi="Verdana" w:cs="Arial"/>
          <w:sz w:val="20"/>
          <w:szCs w:val="20"/>
        </w:rPr>
        <w:t xml:space="preserve"> independencia judicial y</w:t>
      </w:r>
      <w:r w:rsidR="0095038E">
        <w:rPr>
          <w:rFonts w:ascii="Verdana" w:hAnsi="Verdana" w:cs="Arial"/>
          <w:sz w:val="20"/>
          <w:szCs w:val="20"/>
        </w:rPr>
        <w:t>,</w:t>
      </w:r>
      <w:r w:rsidR="0095038E" w:rsidRPr="0095038E">
        <w:rPr>
          <w:rFonts w:ascii="Verdana" w:hAnsi="Verdana" w:cs="Arial"/>
          <w:sz w:val="20"/>
          <w:szCs w:val="20"/>
        </w:rPr>
        <w:t xml:space="preserve"> de paso</w:t>
      </w:r>
      <w:r w:rsidR="0095038E">
        <w:rPr>
          <w:rFonts w:ascii="Verdana" w:hAnsi="Verdana" w:cs="Arial"/>
          <w:sz w:val="20"/>
          <w:szCs w:val="20"/>
        </w:rPr>
        <w:t>,</w:t>
      </w:r>
      <w:r w:rsidR="0095038E" w:rsidRPr="0095038E">
        <w:rPr>
          <w:rFonts w:ascii="Verdana" w:hAnsi="Verdana" w:cs="Arial"/>
          <w:sz w:val="20"/>
          <w:szCs w:val="20"/>
        </w:rPr>
        <w:t xml:space="preserve"> poner en riesgo el principio de separación d</w:t>
      </w:r>
      <w:r w:rsidR="001733DA">
        <w:rPr>
          <w:rFonts w:ascii="Verdana" w:hAnsi="Verdana" w:cs="Arial"/>
          <w:sz w:val="20"/>
          <w:szCs w:val="20"/>
        </w:rPr>
        <w:t>e poderes</w:t>
      </w:r>
      <w:r w:rsidR="00653509">
        <w:rPr>
          <w:rStyle w:val="Refdenotaalpie"/>
          <w:rFonts w:ascii="Verdana" w:hAnsi="Verdana" w:cs="Arial"/>
          <w:sz w:val="20"/>
          <w:szCs w:val="20"/>
        </w:rPr>
        <w:footnoteReference w:id="13"/>
      </w:r>
      <w:r w:rsidR="00653509">
        <w:rPr>
          <w:rFonts w:ascii="Verdana" w:hAnsi="Verdana" w:cs="Arial"/>
          <w:sz w:val="20"/>
          <w:szCs w:val="20"/>
        </w:rPr>
        <w:t xml:space="preserve">. </w:t>
      </w:r>
      <w:r w:rsidR="0095038E" w:rsidRPr="0095038E">
        <w:rPr>
          <w:rFonts w:ascii="Verdana" w:hAnsi="Verdana" w:cs="Arial"/>
          <w:sz w:val="20"/>
          <w:szCs w:val="20"/>
        </w:rPr>
        <w:t>No obstante</w:t>
      </w:r>
      <w:r w:rsidR="00653509">
        <w:rPr>
          <w:rFonts w:ascii="Verdana" w:hAnsi="Verdana" w:cs="Arial"/>
          <w:sz w:val="20"/>
          <w:szCs w:val="20"/>
        </w:rPr>
        <w:t xml:space="preserve"> lo anterior</w:t>
      </w:r>
      <w:r w:rsidR="0095038E" w:rsidRPr="0095038E">
        <w:rPr>
          <w:rFonts w:ascii="Verdana" w:hAnsi="Verdana" w:cs="Arial"/>
          <w:sz w:val="20"/>
          <w:szCs w:val="20"/>
        </w:rPr>
        <w:t>,</w:t>
      </w:r>
      <w:r w:rsidR="001733DA">
        <w:rPr>
          <w:rFonts w:ascii="Verdana" w:hAnsi="Verdana" w:cs="Arial"/>
          <w:sz w:val="20"/>
          <w:szCs w:val="20"/>
        </w:rPr>
        <w:t xml:space="preserve"> debo</w:t>
      </w:r>
      <w:r w:rsidR="0095038E" w:rsidRPr="0095038E">
        <w:rPr>
          <w:rFonts w:ascii="Verdana" w:hAnsi="Verdana" w:cs="Arial"/>
          <w:sz w:val="20"/>
          <w:szCs w:val="20"/>
        </w:rPr>
        <w:t xml:space="preserve"> </w:t>
      </w:r>
      <w:r w:rsidR="001733DA">
        <w:rPr>
          <w:rFonts w:ascii="Verdana" w:hAnsi="Verdana" w:cs="Arial"/>
          <w:sz w:val="20"/>
          <w:szCs w:val="20"/>
        </w:rPr>
        <w:t>reiterar</w:t>
      </w:r>
      <w:r w:rsidR="0095038E">
        <w:rPr>
          <w:rFonts w:ascii="Verdana" w:hAnsi="Verdana" w:cs="Arial"/>
          <w:sz w:val="20"/>
          <w:szCs w:val="20"/>
        </w:rPr>
        <w:t xml:space="preserve"> que una</w:t>
      </w:r>
      <w:r w:rsidR="0095038E" w:rsidRPr="0095038E">
        <w:rPr>
          <w:rFonts w:ascii="Verdana" w:hAnsi="Verdana" w:cs="Arial"/>
          <w:sz w:val="20"/>
          <w:szCs w:val="20"/>
        </w:rPr>
        <w:t xml:space="preserve"> eventual afectación de</w:t>
      </w:r>
      <w:r w:rsidR="001733DA">
        <w:rPr>
          <w:rFonts w:ascii="Verdana" w:hAnsi="Verdana" w:cs="Arial"/>
          <w:sz w:val="20"/>
          <w:szCs w:val="20"/>
        </w:rPr>
        <w:t xml:space="preserve"> este tipo en perjuicio de los mencionados </w:t>
      </w:r>
      <w:r w:rsidR="001D4308">
        <w:rPr>
          <w:rFonts w:ascii="Verdana" w:hAnsi="Verdana" w:cs="Arial"/>
          <w:sz w:val="20"/>
          <w:szCs w:val="20"/>
        </w:rPr>
        <w:t>m</w:t>
      </w:r>
      <w:r w:rsidR="001733DA">
        <w:rPr>
          <w:rFonts w:ascii="Verdana" w:hAnsi="Verdana" w:cs="Arial"/>
          <w:sz w:val="20"/>
          <w:szCs w:val="20"/>
        </w:rPr>
        <w:t>agistrados</w:t>
      </w:r>
      <w:r w:rsidR="0095038E">
        <w:rPr>
          <w:rFonts w:ascii="Verdana" w:hAnsi="Verdana" w:cs="Arial"/>
          <w:sz w:val="20"/>
          <w:szCs w:val="20"/>
        </w:rPr>
        <w:t xml:space="preserve"> de</w:t>
      </w:r>
      <w:r w:rsidR="0095038E" w:rsidRPr="0095038E">
        <w:rPr>
          <w:rFonts w:ascii="Verdana" w:hAnsi="Verdana" w:cs="Arial"/>
          <w:sz w:val="20"/>
          <w:szCs w:val="20"/>
        </w:rPr>
        <w:t xml:space="preserve">be ser examinada en el marco de una petición específica que </w:t>
      </w:r>
      <w:r w:rsidR="007533DC">
        <w:rPr>
          <w:rFonts w:ascii="Verdana" w:hAnsi="Verdana" w:cs="Arial"/>
          <w:sz w:val="20"/>
          <w:szCs w:val="20"/>
        </w:rPr>
        <w:t>siga</w:t>
      </w:r>
      <w:r w:rsidR="0095038E" w:rsidRPr="0095038E">
        <w:rPr>
          <w:rFonts w:ascii="Verdana" w:hAnsi="Verdana" w:cs="Arial"/>
          <w:sz w:val="20"/>
          <w:szCs w:val="20"/>
        </w:rPr>
        <w:t xml:space="preserve"> el procedimiento previsto por la Convención Americana y no de manera forzada en el marco del trámite de la supervisión de cumplimiento de sentencias</w:t>
      </w:r>
      <w:r w:rsidR="00D05578">
        <w:rPr>
          <w:rFonts w:ascii="Verdana" w:hAnsi="Verdana" w:cs="Arial"/>
          <w:sz w:val="20"/>
          <w:szCs w:val="20"/>
        </w:rPr>
        <w:t xml:space="preserve"> de catorce casos en los cuales estos no son parte</w:t>
      </w:r>
      <w:r w:rsidR="00D05578">
        <w:rPr>
          <w:rStyle w:val="Refdenotaalpie"/>
          <w:rFonts w:ascii="Verdana" w:hAnsi="Verdana" w:cs="Arial"/>
          <w:sz w:val="20"/>
          <w:szCs w:val="20"/>
        </w:rPr>
        <w:footnoteReference w:id="14"/>
      </w:r>
      <w:r w:rsidR="0095038E" w:rsidRPr="0095038E">
        <w:rPr>
          <w:rFonts w:ascii="Verdana" w:hAnsi="Verdana" w:cs="Arial"/>
          <w:sz w:val="20"/>
          <w:szCs w:val="20"/>
        </w:rPr>
        <w:t>.</w:t>
      </w:r>
    </w:p>
    <w:p w14:paraId="0723A4C6" w14:textId="77777777" w:rsidR="002532E5" w:rsidRPr="006A7E49" w:rsidRDefault="002532E5" w:rsidP="002532E5">
      <w:pPr>
        <w:pStyle w:val="Prrafodelista"/>
        <w:ind w:left="0"/>
        <w:jc w:val="both"/>
        <w:rPr>
          <w:rFonts w:ascii="Verdana" w:hAnsi="Verdana" w:cs="Arial"/>
          <w:sz w:val="10"/>
          <w:szCs w:val="10"/>
        </w:rPr>
      </w:pPr>
    </w:p>
    <w:p w14:paraId="7D74E88A" w14:textId="77777777" w:rsidR="00AC68B6" w:rsidRDefault="00AC68B6" w:rsidP="00AC68B6">
      <w:pPr>
        <w:pStyle w:val="Prrafodelista"/>
        <w:jc w:val="both"/>
        <w:rPr>
          <w:rFonts w:ascii="Verdana" w:hAnsi="Verdana" w:cs="Arial"/>
          <w:b/>
          <w:sz w:val="20"/>
          <w:szCs w:val="20"/>
        </w:rPr>
      </w:pPr>
      <w:r>
        <w:rPr>
          <w:rFonts w:ascii="Verdana" w:hAnsi="Verdana" w:cs="Arial"/>
          <w:b/>
          <w:sz w:val="20"/>
          <w:szCs w:val="20"/>
        </w:rPr>
        <w:t>I</w:t>
      </w:r>
      <w:r w:rsidR="0025469D">
        <w:rPr>
          <w:rFonts w:ascii="Verdana" w:hAnsi="Verdana" w:cs="Arial"/>
          <w:b/>
          <w:sz w:val="20"/>
          <w:szCs w:val="20"/>
        </w:rPr>
        <w:t>I</w:t>
      </w:r>
      <w:r>
        <w:rPr>
          <w:rFonts w:ascii="Verdana" w:hAnsi="Verdana" w:cs="Arial"/>
          <w:b/>
          <w:sz w:val="20"/>
          <w:szCs w:val="20"/>
        </w:rPr>
        <w:t xml:space="preserve">I. </w:t>
      </w:r>
      <w:r w:rsidR="0025469D">
        <w:rPr>
          <w:rFonts w:ascii="Verdana" w:hAnsi="Verdana" w:cs="Arial"/>
          <w:b/>
          <w:sz w:val="20"/>
          <w:szCs w:val="20"/>
        </w:rPr>
        <w:t xml:space="preserve">Conclusión </w:t>
      </w:r>
    </w:p>
    <w:p w14:paraId="0909E136" w14:textId="77777777" w:rsidR="00AC68B6" w:rsidRPr="006A7E49" w:rsidRDefault="00AC68B6" w:rsidP="00AC68B6">
      <w:pPr>
        <w:pStyle w:val="Prrafodelista"/>
        <w:ind w:left="0"/>
        <w:jc w:val="both"/>
        <w:rPr>
          <w:rFonts w:ascii="Verdana" w:hAnsi="Verdana" w:cs="Arial"/>
          <w:sz w:val="10"/>
          <w:szCs w:val="10"/>
        </w:rPr>
      </w:pPr>
    </w:p>
    <w:p w14:paraId="5B117775" w14:textId="77777777" w:rsidR="00AC68B6" w:rsidRPr="0025469D" w:rsidRDefault="0025469D" w:rsidP="0025469D">
      <w:pPr>
        <w:pStyle w:val="Prrafodelista"/>
        <w:numPr>
          <w:ilvl w:val="0"/>
          <w:numId w:val="1"/>
        </w:numPr>
        <w:ind w:left="0" w:firstLine="0"/>
        <w:jc w:val="both"/>
        <w:rPr>
          <w:rFonts w:ascii="Verdana" w:hAnsi="Verdana"/>
          <w:sz w:val="20"/>
          <w:szCs w:val="20"/>
        </w:rPr>
      </w:pPr>
      <w:r w:rsidRPr="0025469D">
        <w:rPr>
          <w:rFonts w:ascii="Verdana" w:hAnsi="Verdana" w:cs="Arial"/>
          <w:sz w:val="20"/>
          <w:szCs w:val="20"/>
        </w:rPr>
        <w:t xml:space="preserve">Me pareció pertinente adicionar el análisis aquí planteado respecto a la imposibilidad de ordenar una medida provisional de un caso en etapa de supervisión de cumplimiento de sentencia a favor de terceros que no son víctimas del caso, en tanto es importante reiterar que una decisión de ese tipo </w:t>
      </w:r>
      <w:r w:rsidRPr="0025469D">
        <w:rPr>
          <w:rFonts w:ascii="Verdana" w:hAnsi="Verdana"/>
          <w:sz w:val="20"/>
          <w:szCs w:val="20"/>
          <w:lang w:val="es-CR"/>
        </w:rPr>
        <w:t xml:space="preserve">podría </w:t>
      </w:r>
      <w:r w:rsidR="00AC68B6" w:rsidRPr="0025469D">
        <w:rPr>
          <w:rFonts w:ascii="Verdana" w:hAnsi="Verdana"/>
          <w:sz w:val="20"/>
          <w:szCs w:val="20"/>
          <w:lang w:val="es-CR"/>
        </w:rPr>
        <w:t>desnaturaliza</w:t>
      </w:r>
      <w:r w:rsidRPr="0025469D">
        <w:rPr>
          <w:rFonts w:ascii="Verdana" w:hAnsi="Verdana"/>
          <w:sz w:val="20"/>
          <w:szCs w:val="20"/>
          <w:lang w:val="es-CR"/>
        </w:rPr>
        <w:t>r la posibilidad planteada convencionalmente de</w:t>
      </w:r>
      <w:r>
        <w:rPr>
          <w:rFonts w:ascii="Verdana" w:hAnsi="Verdana"/>
          <w:sz w:val="20"/>
          <w:szCs w:val="20"/>
          <w:lang w:val="es-CR"/>
        </w:rPr>
        <w:t xml:space="preserve"> dictar medidas que -ante una situación de extrema gravedad, urgencia y daño irreparable a la que se enfrenten víctimas del caso- permitan </w:t>
      </w:r>
      <w:r w:rsidRPr="0025469D">
        <w:rPr>
          <w:rFonts w:ascii="Verdana" w:hAnsi="Verdana"/>
          <w:sz w:val="20"/>
          <w:szCs w:val="20"/>
          <w:lang w:val="es-CR"/>
        </w:rPr>
        <w:t xml:space="preserve">preservar la ejecución de </w:t>
      </w:r>
      <w:r>
        <w:rPr>
          <w:rFonts w:ascii="Verdana" w:hAnsi="Verdana"/>
          <w:sz w:val="20"/>
          <w:szCs w:val="20"/>
          <w:lang w:val="es-CR"/>
        </w:rPr>
        <w:t>una Sentencia a favor</w:t>
      </w:r>
      <w:r w:rsidRPr="0025469D">
        <w:rPr>
          <w:rFonts w:ascii="Verdana" w:hAnsi="Verdana"/>
          <w:sz w:val="20"/>
          <w:szCs w:val="20"/>
          <w:lang w:val="es-CR"/>
        </w:rPr>
        <w:t xml:space="preserve"> de </w:t>
      </w:r>
      <w:r>
        <w:rPr>
          <w:rFonts w:ascii="Verdana" w:hAnsi="Verdana"/>
          <w:sz w:val="20"/>
          <w:szCs w:val="20"/>
          <w:lang w:val="es-CR"/>
        </w:rPr>
        <w:t>dichas</w:t>
      </w:r>
      <w:r w:rsidRPr="0025469D">
        <w:rPr>
          <w:rFonts w:ascii="Verdana" w:hAnsi="Verdana"/>
          <w:sz w:val="20"/>
          <w:szCs w:val="20"/>
          <w:lang w:val="es-CR"/>
        </w:rPr>
        <w:t xml:space="preserve"> víctimas y tutelar sus derechos </w:t>
      </w:r>
      <w:r>
        <w:rPr>
          <w:rFonts w:ascii="Verdana" w:hAnsi="Verdana"/>
          <w:sz w:val="20"/>
          <w:szCs w:val="20"/>
          <w:lang w:val="es-CR"/>
        </w:rPr>
        <w:t>para</w:t>
      </w:r>
      <w:r w:rsidRPr="0025469D">
        <w:rPr>
          <w:rFonts w:ascii="Verdana" w:hAnsi="Verdana"/>
          <w:sz w:val="20"/>
          <w:szCs w:val="20"/>
          <w:lang w:val="es-CR"/>
        </w:rPr>
        <w:t xml:space="preserve">, en su lugar, permitirse el análisis de nuevos hechos y nuevas víctimas so pretexto de velar por el cumplimiento de sus fallos. </w:t>
      </w:r>
    </w:p>
    <w:p w14:paraId="4820AF1A" w14:textId="77777777" w:rsidR="0084520B" w:rsidRDefault="0084520B" w:rsidP="00AC68B6">
      <w:pPr>
        <w:pStyle w:val="NormalWeb"/>
        <w:spacing w:before="0" w:beforeAutospacing="0" w:after="0" w:afterAutospacing="0"/>
        <w:ind w:left="2124" w:right="96" w:firstLine="708"/>
        <w:jc w:val="right"/>
        <w:rPr>
          <w:rFonts w:ascii="Verdana" w:eastAsia="Calibri" w:hAnsi="Verdana"/>
          <w:sz w:val="20"/>
          <w:szCs w:val="20"/>
          <w:lang w:eastAsia="en-US"/>
        </w:rPr>
      </w:pPr>
    </w:p>
    <w:p w14:paraId="28EA4BFE" w14:textId="77777777" w:rsidR="004517A5" w:rsidRDefault="004517A5" w:rsidP="00AC68B6">
      <w:pPr>
        <w:pStyle w:val="NormalWeb"/>
        <w:spacing w:before="0" w:beforeAutospacing="0" w:after="0" w:afterAutospacing="0"/>
        <w:ind w:left="2124" w:right="96" w:firstLine="708"/>
        <w:jc w:val="right"/>
        <w:rPr>
          <w:rFonts w:ascii="Verdana" w:eastAsia="Calibri" w:hAnsi="Verdana"/>
          <w:sz w:val="20"/>
          <w:szCs w:val="20"/>
          <w:lang w:eastAsia="en-US"/>
        </w:rPr>
      </w:pPr>
    </w:p>
    <w:p w14:paraId="3F72170E" w14:textId="77777777" w:rsidR="004517A5" w:rsidRDefault="004517A5" w:rsidP="00AC68B6">
      <w:pPr>
        <w:pStyle w:val="NormalWeb"/>
        <w:spacing w:before="0" w:beforeAutospacing="0" w:after="0" w:afterAutospacing="0"/>
        <w:ind w:left="2124" w:right="96" w:firstLine="708"/>
        <w:jc w:val="right"/>
        <w:rPr>
          <w:rFonts w:ascii="Verdana" w:eastAsia="Calibri" w:hAnsi="Verdana"/>
          <w:sz w:val="20"/>
          <w:szCs w:val="20"/>
          <w:lang w:eastAsia="en-US"/>
        </w:rPr>
      </w:pPr>
    </w:p>
    <w:p w14:paraId="16EB4E61" w14:textId="77777777" w:rsidR="0084520B" w:rsidRDefault="0084520B" w:rsidP="00AC68B6">
      <w:pPr>
        <w:pStyle w:val="NormalWeb"/>
        <w:spacing w:before="0" w:beforeAutospacing="0" w:after="0" w:afterAutospacing="0"/>
        <w:ind w:left="2124" w:right="96" w:firstLine="708"/>
        <w:jc w:val="right"/>
        <w:rPr>
          <w:rFonts w:ascii="Verdana" w:eastAsia="Calibri" w:hAnsi="Verdana"/>
          <w:sz w:val="20"/>
          <w:szCs w:val="20"/>
          <w:lang w:eastAsia="en-US"/>
        </w:rPr>
      </w:pPr>
    </w:p>
    <w:p w14:paraId="5C2A8DFE" w14:textId="77777777" w:rsidR="00AC68B6" w:rsidRDefault="00AC68B6" w:rsidP="00AC68B6">
      <w:pPr>
        <w:pStyle w:val="NormalWeb"/>
        <w:spacing w:before="0" w:beforeAutospacing="0" w:after="0" w:afterAutospacing="0"/>
        <w:ind w:left="2124" w:right="96" w:firstLine="708"/>
        <w:jc w:val="right"/>
        <w:rPr>
          <w:rFonts w:ascii="Verdana" w:eastAsia="Calibri" w:hAnsi="Verdana"/>
          <w:sz w:val="20"/>
          <w:szCs w:val="20"/>
          <w:lang w:eastAsia="en-US"/>
        </w:rPr>
      </w:pPr>
    </w:p>
    <w:p w14:paraId="6796304C" w14:textId="77777777" w:rsidR="00AC68B6" w:rsidRDefault="00AC68B6" w:rsidP="00AC68B6">
      <w:pPr>
        <w:pStyle w:val="NormalWeb"/>
        <w:spacing w:before="0" w:beforeAutospacing="0" w:after="0" w:afterAutospacing="0"/>
        <w:ind w:left="2124" w:right="96" w:firstLine="708"/>
        <w:jc w:val="right"/>
        <w:rPr>
          <w:rFonts w:ascii="Verdana" w:eastAsia="Calibri" w:hAnsi="Verdana"/>
          <w:sz w:val="20"/>
          <w:szCs w:val="20"/>
          <w:lang w:eastAsia="en-US"/>
        </w:rPr>
      </w:pPr>
    </w:p>
    <w:p w14:paraId="07C7CA73" w14:textId="77777777" w:rsidR="00AC68B6" w:rsidRPr="005A7D73" w:rsidRDefault="00AC68B6" w:rsidP="00A16FCD">
      <w:pPr>
        <w:pStyle w:val="NormalWeb"/>
        <w:spacing w:before="0" w:beforeAutospacing="0" w:after="0" w:afterAutospacing="0"/>
        <w:ind w:left="2124" w:right="96" w:firstLine="428"/>
        <w:jc w:val="right"/>
        <w:rPr>
          <w:rFonts w:ascii="Verdana" w:eastAsia="Calibri" w:hAnsi="Verdana"/>
          <w:sz w:val="20"/>
          <w:szCs w:val="20"/>
          <w:lang w:eastAsia="en-US"/>
        </w:rPr>
      </w:pPr>
      <w:r>
        <w:rPr>
          <w:rFonts w:ascii="Verdana" w:eastAsia="Calibri" w:hAnsi="Verdana"/>
          <w:sz w:val="20"/>
          <w:szCs w:val="20"/>
          <w:lang w:eastAsia="en-US"/>
        </w:rPr>
        <w:t>Humberto A.</w:t>
      </w:r>
      <w:r w:rsidRPr="005A7D73">
        <w:rPr>
          <w:rFonts w:ascii="Verdana" w:eastAsia="Calibri" w:hAnsi="Verdana"/>
          <w:sz w:val="20"/>
          <w:szCs w:val="20"/>
          <w:lang w:eastAsia="en-US"/>
        </w:rPr>
        <w:t xml:space="preserve"> Sierra Porto</w:t>
      </w:r>
    </w:p>
    <w:p w14:paraId="16AE5467" w14:textId="77777777" w:rsidR="00AC68B6" w:rsidRPr="00DA4C3C" w:rsidRDefault="00AC68B6" w:rsidP="00A16FCD">
      <w:pPr>
        <w:pStyle w:val="NormalWeb"/>
        <w:spacing w:before="0" w:beforeAutospacing="0" w:after="0" w:afterAutospacing="0"/>
        <w:ind w:left="5052" w:right="1548" w:firstLine="708"/>
        <w:jc w:val="right"/>
        <w:rPr>
          <w:rFonts w:ascii="Verdana" w:eastAsia="Calibri" w:hAnsi="Verdana"/>
          <w:sz w:val="20"/>
          <w:szCs w:val="20"/>
          <w:lang w:eastAsia="en-US"/>
        </w:rPr>
      </w:pPr>
      <w:r w:rsidRPr="005A7D73">
        <w:rPr>
          <w:rFonts w:ascii="Verdana" w:eastAsia="Calibri" w:hAnsi="Verdana"/>
          <w:sz w:val="20"/>
          <w:szCs w:val="20"/>
          <w:lang w:eastAsia="en-US"/>
        </w:rPr>
        <w:t>Juez</w:t>
      </w:r>
    </w:p>
    <w:p w14:paraId="38E8B6DB" w14:textId="77777777" w:rsidR="00AC68B6" w:rsidRDefault="00AC68B6" w:rsidP="00AC68B6">
      <w:pPr>
        <w:spacing w:after="0" w:line="240" w:lineRule="auto"/>
        <w:rPr>
          <w:rFonts w:ascii="Verdana" w:hAnsi="Verdana"/>
          <w:sz w:val="20"/>
          <w:szCs w:val="20"/>
        </w:rPr>
      </w:pPr>
    </w:p>
    <w:p w14:paraId="52BBB551" w14:textId="77777777" w:rsidR="00AC68B6" w:rsidRDefault="00AC68B6" w:rsidP="00AC68B6">
      <w:pPr>
        <w:spacing w:after="0" w:line="240" w:lineRule="auto"/>
        <w:rPr>
          <w:rFonts w:ascii="Verdana" w:hAnsi="Verdana"/>
          <w:sz w:val="20"/>
          <w:szCs w:val="20"/>
        </w:rPr>
      </w:pPr>
    </w:p>
    <w:p w14:paraId="0627C264" w14:textId="77777777" w:rsidR="00AC68B6" w:rsidRPr="005A7D73" w:rsidRDefault="00AC68B6" w:rsidP="00AC68B6">
      <w:pPr>
        <w:spacing w:after="0" w:line="240" w:lineRule="auto"/>
        <w:rPr>
          <w:rFonts w:ascii="Verdana" w:hAnsi="Verdana"/>
          <w:sz w:val="20"/>
          <w:szCs w:val="20"/>
        </w:rPr>
      </w:pPr>
      <w:r w:rsidRPr="005A7D73">
        <w:rPr>
          <w:rFonts w:ascii="Verdana" w:hAnsi="Verdana"/>
          <w:sz w:val="20"/>
          <w:szCs w:val="20"/>
        </w:rPr>
        <w:t>Pablo Saavedra Alessandri</w:t>
      </w:r>
    </w:p>
    <w:p w14:paraId="3E592143" w14:textId="77777777" w:rsidR="00B40501" w:rsidRPr="0084520B" w:rsidRDefault="00AC68B6" w:rsidP="0084520B">
      <w:pPr>
        <w:spacing w:after="0" w:line="240" w:lineRule="auto"/>
        <w:rPr>
          <w:rFonts w:ascii="Verdana" w:hAnsi="Verdana" w:cs="Arial"/>
          <w:sz w:val="20"/>
          <w:szCs w:val="20"/>
        </w:rPr>
      </w:pPr>
      <w:r>
        <w:rPr>
          <w:rFonts w:ascii="Verdana" w:hAnsi="Verdana"/>
          <w:sz w:val="20"/>
          <w:szCs w:val="20"/>
        </w:rPr>
        <w:tab/>
      </w:r>
      <w:r w:rsidRPr="005A7D73">
        <w:rPr>
          <w:rFonts w:ascii="Verdana" w:hAnsi="Verdana"/>
          <w:sz w:val="20"/>
          <w:szCs w:val="20"/>
        </w:rPr>
        <w:t>Secretario</w:t>
      </w:r>
    </w:p>
    <w:sectPr w:rsidR="00B40501" w:rsidRPr="0084520B" w:rsidSect="00D05578">
      <w:headerReference w:type="default" r:id="rId8"/>
      <w:footerReference w:type="default" r:id="rId9"/>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8F45" w14:textId="77777777" w:rsidR="00D05578" w:rsidRDefault="00D05578" w:rsidP="00AC68B6">
      <w:pPr>
        <w:spacing w:after="0" w:line="240" w:lineRule="auto"/>
      </w:pPr>
      <w:r>
        <w:separator/>
      </w:r>
    </w:p>
  </w:endnote>
  <w:endnote w:type="continuationSeparator" w:id="0">
    <w:p w14:paraId="79CD0370" w14:textId="77777777" w:rsidR="00D05578" w:rsidRDefault="00D05578" w:rsidP="00AC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894111"/>
      <w:docPartObj>
        <w:docPartGallery w:val="Page Numbers (Bottom of Page)"/>
        <w:docPartUnique/>
      </w:docPartObj>
    </w:sdtPr>
    <w:sdtEndPr/>
    <w:sdtContent>
      <w:p w14:paraId="029C9BF8" w14:textId="77777777" w:rsidR="008C3884" w:rsidRDefault="008C3884">
        <w:pPr>
          <w:pStyle w:val="Piedepgina"/>
          <w:jc w:val="center"/>
        </w:pPr>
        <w:r>
          <w:fldChar w:fldCharType="begin"/>
        </w:r>
        <w:r>
          <w:instrText>PAGE   \* MERGEFORMAT</w:instrText>
        </w:r>
        <w:r>
          <w:fldChar w:fldCharType="separate"/>
        </w:r>
        <w:r w:rsidR="001F2DEF" w:rsidRPr="001F2DEF">
          <w:rPr>
            <w:noProof/>
            <w:lang w:val="es-ES"/>
          </w:rPr>
          <w:t>4</w:t>
        </w:r>
        <w:r>
          <w:fldChar w:fldCharType="end"/>
        </w:r>
      </w:p>
    </w:sdtContent>
  </w:sdt>
  <w:p w14:paraId="4D181A5D" w14:textId="77777777" w:rsidR="008C3884" w:rsidRDefault="008C3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E43F" w14:textId="77777777" w:rsidR="00D05578" w:rsidRDefault="00D05578" w:rsidP="00AC68B6">
      <w:pPr>
        <w:spacing w:after="0" w:line="240" w:lineRule="auto"/>
      </w:pPr>
      <w:r>
        <w:separator/>
      </w:r>
    </w:p>
  </w:footnote>
  <w:footnote w:type="continuationSeparator" w:id="0">
    <w:p w14:paraId="5B624595" w14:textId="77777777" w:rsidR="00D05578" w:rsidRDefault="00D05578" w:rsidP="00AC68B6">
      <w:pPr>
        <w:spacing w:after="0" w:line="240" w:lineRule="auto"/>
      </w:pPr>
      <w:r>
        <w:continuationSeparator/>
      </w:r>
    </w:p>
  </w:footnote>
  <w:footnote w:id="1">
    <w:p w14:paraId="30D0817A" w14:textId="77777777" w:rsidR="00D05578" w:rsidRDefault="00D05578">
      <w:pPr>
        <w:pStyle w:val="Textonotapie"/>
      </w:pPr>
      <w:r>
        <w:rPr>
          <w:rStyle w:val="Refdenotaalpie"/>
        </w:rPr>
        <w:footnoteRef/>
      </w:r>
      <w:r>
        <w:t xml:space="preserve"> </w:t>
      </w:r>
      <w:r>
        <w:tab/>
      </w:r>
      <w:r w:rsidRPr="007D3E64">
        <w:rPr>
          <w:i/>
        </w:rPr>
        <w:t>Cfr</w:t>
      </w:r>
      <w:r>
        <w:t xml:space="preserve">. </w:t>
      </w:r>
      <w:r w:rsidRPr="007D3E64">
        <w:rPr>
          <w:i/>
        </w:rPr>
        <w:t xml:space="preserve">Caso Miembros de la Aldea </w:t>
      </w:r>
      <w:proofErr w:type="spellStart"/>
      <w:r w:rsidRPr="007D3E64">
        <w:rPr>
          <w:i/>
        </w:rPr>
        <w:t>Chichupac</w:t>
      </w:r>
      <w:proofErr w:type="spellEnd"/>
      <w:r w:rsidRPr="007D3E64">
        <w:rPr>
          <w:i/>
        </w:rPr>
        <w:t xml:space="preserve"> y comunidades vecinas del Municipio de Rabinal, Caso Molina </w:t>
      </w:r>
      <w:proofErr w:type="spellStart"/>
      <w:r w:rsidRPr="007D3E64">
        <w:rPr>
          <w:i/>
        </w:rPr>
        <w:t>Theissen</w:t>
      </w:r>
      <w:proofErr w:type="spellEnd"/>
      <w:r w:rsidRPr="007D3E64">
        <w:rPr>
          <w:i/>
        </w:rPr>
        <w:t xml:space="preserve"> y otros 12 Casos Guatemaltecos Vs. Guatemala. Medidas Provisionales y Supervisión de Cumplimiento de Sentencia</w:t>
      </w:r>
      <w:r w:rsidRPr="007D3E64">
        <w:t xml:space="preserve">. Resolución de la Corte Interamericana de Derechos Humanos de </w:t>
      </w:r>
      <w:r>
        <w:t>14</w:t>
      </w:r>
      <w:r w:rsidRPr="007D3E64">
        <w:t xml:space="preserve"> de </w:t>
      </w:r>
      <w:r>
        <w:t>octubre de</w:t>
      </w:r>
      <w:r w:rsidRPr="007D3E64">
        <w:t xml:space="preserve"> 2019.</w:t>
      </w:r>
    </w:p>
  </w:footnote>
  <w:footnote w:id="2">
    <w:p w14:paraId="4A03FDA9" w14:textId="77777777" w:rsidR="00D05578" w:rsidRPr="007D3E64" w:rsidRDefault="00D05578">
      <w:pPr>
        <w:pStyle w:val="Textonotapie"/>
      </w:pPr>
      <w:r>
        <w:rPr>
          <w:rStyle w:val="Refdenotaalpie"/>
        </w:rPr>
        <w:footnoteRef/>
      </w:r>
      <w:r>
        <w:t xml:space="preserve"> </w:t>
      </w:r>
      <w:r>
        <w:tab/>
      </w:r>
      <w:r w:rsidRPr="007D3E64">
        <w:rPr>
          <w:i/>
        </w:rPr>
        <w:t>Cfr</w:t>
      </w:r>
      <w:r>
        <w:rPr>
          <w:i/>
        </w:rPr>
        <w:t>. C</w:t>
      </w:r>
      <w:r w:rsidRPr="007D3E64">
        <w:rPr>
          <w:i/>
        </w:rPr>
        <w:t xml:space="preserve">aso Durand y Ugarte Vs. Perú. Medidas Provisionales. </w:t>
      </w:r>
      <w:r w:rsidRPr="007D3E64">
        <w:t>Resolución de la Corte Interamericana de Derechos Humanos de 8 de febrero de 2018.</w:t>
      </w:r>
    </w:p>
  </w:footnote>
  <w:footnote w:id="3">
    <w:p w14:paraId="16271C28" w14:textId="77777777" w:rsidR="00D05578" w:rsidRDefault="00D05578" w:rsidP="00732AA7">
      <w:pPr>
        <w:pStyle w:val="Textonotapie"/>
      </w:pPr>
      <w:r>
        <w:rPr>
          <w:rStyle w:val="Refdenotaalpie"/>
        </w:rPr>
        <w:footnoteRef/>
      </w:r>
      <w:r>
        <w:t xml:space="preserve"> </w:t>
      </w:r>
      <w:r>
        <w:tab/>
      </w:r>
      <w:r w:rsidR="00CE1268">
        <w:rPr>
          <w:i/>
        </w:rPr>
        <w:t xml:space="preserve">Supra </w:t>
      </w:r>
      <w:r w:rsidR="00CE1268">
        <w:t xml:space="preserve">nota 1, </w:t>
      </w:r>
      <w:r>
        <w:t xml:space="preserve">Considerando </w:t>
      </w:r>
      <w:r w:rsidR="001D4308">
        <w:t>26</w:t>
      </w:r>
      <w:r>
        <w:t xml:space="preserve">. </w:t>
      </w:r>
    </w:p>
  </w:footnote>
  <w:footnote w:id="4">
    <w:p w14:paraId="756FE340" w14:textId="77777777" w:rsidR="00D05578" w:rsidRDefault="00D05578">
      <w:pPr>
        <w:pStyle w:val="Textonotapie"/>
      </w:pPr>
      <w:r>
        <w:rPr>
          <w:rStyle w:val="Refdenotaalpie"/>
        </w:rPr>
        <w:footnoteRef/>
      </w:r>
      <w:r>
        <w:t xml:space="preserve"> </w:t>
      </w:r>
      <w:r>
        <w:tab/>
        <w:t xml:space="preserve">Lo anterior </w:t>
      </w:r>
      <w:r w:rsidRPr="001A6EFA">
        <w:t xml:space="preserve">en tanto la misma “se refiere a una decisión judicial emitida por la Corte de Constitucionalidad respecto del trámite de la iniciativa de ley No. 5377, la cual que fue objeto de análisis </w:t>
      </w:r>
      <w:r w:rsidRPr="00BD3C75">
        <w:rPr>
          <w:i/>
        </w:rPr>
        <w:t>prima facie</w:t>
      </w:r>
      <w:r w:rsidRPr="001A6EFA">
        <w:t xml:space="preserve"> por este Tribunal en la Resolución de medidas provisionales de 12 de marzo de 2019 que ordenó que sea archivada”</w:t>
      </w:r>
      <w:r>
        <w:t xml:space="preserve">. </w:t>
      </w:r>
      <w:r w:rsidR="00CE1268">
        <w:rPr>
          <w:i/>
        </w:rPr>
        <w:t xml:space="preserve">Supra </w:t>
      </w:r>
      <w:r w:rsidR="00CE1268">
        <w:t xml:space="preserve">nota 1, </w:t>
      </w:r>
      <w:r>
        <w:t>Considerando 33.</w:t>
      </w:r>
    </w:p>
  </w:footnote>
  <w:footnote w:id="5">
    <w:p w14:paraId="606DFB58" w14:textId="77777777" w:rsidR="00D05578" w:rsidRDefault="00D05578">
      <w:pPr>
        <w:pStyle w:val="Textonotapie"/>
      </w:pPr>
      <w:r>
        <w:rPr>
          <w:rStyle w:val="Refdenotaalpie"/>
        </w:rPr>
        <w:footnoteRef/>
      </w:r>
      <w:r>
        <w:t xml:space="preserve"> </w:t>
      </w:r>
      <w:r>
        <w:tab/>
      </w:r>
      <w:r w:rsidR="00CE1268">
        <w:rPr>
          <w:i/>
        </w:rPr>
        <w:t xml:space="preserve">Supra </w:t>
      </w:r>
      <w:r w:rsidR="00CE1268">
        <w:t xml:space="preserve">nota 1, </w:t>
      </w:r>
      <w:r>
        <w:t xml:space="preserve">Considerando 36. </w:t>
      </w:r>
    </w:p>
  </w:footnote>
  <w:footnote w:id="6">
    <w:p w14:paraId="76504ACA" w14:textId="77777777" w:rsidR="00D05578" w:rsidRDefault="00D05578">
      <w:pPr>
        <w:pStyle w:val="Textonotapie"/>
      </w:pPr>
      <w:r>
        <w:rPr>
          <w:rStyle w:val="Refdenotaalpie"/>
        </w:rPr>
        <w:footnoteRef/>
      </w:r>
      <w:r>
        <w:t xml:space="preserve"> </w:t>
      </w:r>
      <w:r>
        <w:tab/>
      </w:r>
      <w:r w:rsidR="00CE1268">
        <w:rPr>
          <w:i/>
        </w:rPr>
        <w:t xml:space="preserve">Supra </w:t>
      </w:r>
      <w:r w:rsidR="00CE1268">
        <w:t xml:space="preserve">nota 1, </w:t>
      </w:r>
      <w:r>
        <w:t>Considerando 37.</w:t>
      </w:r>
    </w:p>
  </w:footnote>
  <w:footnote w:id="7">
    <w:p w14:paraId="01520FD6" w14:textId="77777777" w:rsidR="00D05578" w:rsidRDefault="00D05578">
      <w:pPr>
        <w:pStyle w:val="Textonotapie"/>
      </w:pPr>
      <w:r>
        <w:rPr>
          <w:rStyle w:val="Refdenotaalpie"/>
        </w:rPr>
        <w:footnoteRef/>
      </w:r>
      <w:r>
        <w:t xml:space="preserve"> </w:t>
      </w:r>
      <w:r>
        <w:tab/>
      </w:r>
      <w:r w:rsidR="00CE1268">
        <w:rPr>
          <w:i/>
        </w:rPr>
        <w:t xml:space="preserve">Supra </w:t>
      </w:r>
      <w:r w:rsidR="00CE1268">
        <w:t xml:space="preserve">nota 1, </w:t>
      </w:r>
      <w:r>
        <w:t>Considerando 18.</w:t>
      </w:r>
    </w:p>
  </w:footnote>
  <w:footnote w:id="8">
    <w:p w14:paraId="4436404F" w14:textId="77777777" w:rsidR="00D05578" w:rsidRDefault="00D05578" w:rsidP="00225DD5">
      <w:pPr>
        <w:pStyle w:val="Textonotapie"/>
      </w:pPr>
      <w:r w:rsidRPr="00C42966">
        <w:rPr>
          <w:rStyle w:val="Refdenotaalpie"/>
        </w:rPr>
        <w:footnoteRef/>
      </w:r>
      <w:r w:rsidRPr="00C42966">
        <w:t xml:space="preserve"> </w:t>
      </w:r>
      <w:r w:rsidRPr="00C42966">
        <w:tab/>
      </w:r>
      <w:r w:rsidR="00C42966" w:rsidRPr="00C42966">
        <w:rPr>
          <w:i/>
        </w:rPr>
        <w:t xml:space="preserve">Inter </w:t>
      </w:r>
      <w:proofErr w:type="spellStart"/>
      <w:r w:rsidR="00C42966" w:rsidRPr="00C42966">
        <w:rPr>
          <w:i/>
        </w:rPr>
        <w:t>alia</w:t>
      </w:r>
      <w:proofErr w:type="spellEnd"/>
      <w:r w:rsidR="00C42966" w:rsidRPr="00C42966">
        <w:t>:</w:t>
      </w:r>
      <w:r w:rsidRPr="00C42966">
        <w:t xml:space="preserve"> </w:t>
      </w:r>
      <w:r w:rsidR="001D4308" w:rsidRPr="00BD3C75">
        <w:rPr>
          <w:i/>
        </w:rPr>
        <w:t>Asunto del Internado Judicial Capital El Rodeo I y El Rodeo II respecto de Venezuela. Medidas Provisionales.</w:t>
      </w:r>
      <w:r w:rsidR="001D4308" w:rsidRPr="00C42966">
        <w:t xml:space="preserve"> Resolución de la Corte Interamericana de Derechos Humanos de 8 de febrero de 2008, Considerando 7</w:t>
      </w:r>
      <w:r w:rsidR="001D4308">
        <w:t xml:space="preserve">; </w:t>
      </w:r>
      <w:r w:rsidR="00C42966" w:rsidRPr="00C42966">
        <w:rPr>
          <w:i/>
        </w:rPr>
        <w:t>Asunto L.M. respecto de Paraguay. Medidas Provisionales</w:t>
      </w:r>
      <w:r w:rsidR="00C42966" w:rsidRPr="00C42966">
        <w:t>. Resolución de la Corte Interamericana de Derechos Humanos de 1 de julio de 2011, C</w:t>
      </w:r>
      <w:r w:rsidRPr="00C42966">
        <w:t xml:space="preserve">onsiderando </w:t>
      </w:r>
      <w:r w:rsidR="00C42966" w:rsidRPr="00C42966">
        <w:t>5</w:t>
      </w:r>
      <w:r w:rsidR="001D4308">
        <w:t>,</w:t>
      </w:r>
      <w:r w:rsidRPr="00C42966">
        <w:t xml:space="preserve"> </w:t>
      </w:r>
      <w:r w:rsidR="00C42966" w:rsidRPr="00C42966">
        <w:t xml:space="preserve">y </w:t>
      </w:r>
      <w:r w:rsidR="00C42966" w:rsidRPr="00C42966">
        <w:rPr>
          <w:i/>
        </w:rPr>
        <w:t xml:space="preserve">Caso Gonzales </w:t>
      </w:r>
      <w:proofErr w:type="spellStart"/>
      <w:r w:rsidR="00C42966" w:rsidRPr="00C42966">
        <w:rPr>
          <w:i/>
        </w:rPr>
        <w:t>Lluy</w:t>
      </w:r>
      <w:proofErr w:type="spellEnd"/>
      <w:r w:rsidR="00C42966" w:rsidRPr="00C42966">
        <w:rPr>
          <w:i/>
        </w:rPr>
        <w:t xml:space="preserve"> y otros Vs. Ecuador. Medidas Provisionales</w:t>
      </w:r>
      <w:r w:rsidR="00C42966" w:rsidRPr="00C42966">
        <w:t>. Resolución de la Corte Interamericana de Derechos Humanos de 2 de septiembre de 2015, Considerando 5.</w:t>
      </w:r>
    </w:p>
  </w:footnote>
  <w:footnote w:id="9">
    <w:p w14:paraId="704E000C" w14:textId="77777777" w:rsidR="00D05578" w:rsidRDefault="00D05578">
      <w:pPr>
        <w:pStyle w:val="Textonotapie"/>
      </w:pPr>
      <w:r w:rsidRPr="00CE1268">
        <w:rPr>
          <w:rStyle w:val="Refdenotaalpie"/>
        </w:rPr>
        <w:footnoteRef/>
      </w:r>
      <w:r w:rsidRPr="00CE1268">
        <w:t xml:space="preserve"> </w:t>
      </w:r>
      <w:r w:rsidRPr="00CE1268">
        <w:tab/>
        <w:t>Esta afirmación no implica desconocer que las Sentencias de la Corte tienen un impacto más allá de las víctimas del caso o del Estado contra el cual se dictó el Fallo y debe dar cumplimiento a los estándares y reparaciones ahí ordenadas; lo anterior especialmente cuando se trata del cumplimiento de garantías de no repetición.</w:t>
      </w:r>
      <w:r>
        <w:t xml:space="preserve"> </w:t>
      </w:r>
    </w:p>
  </w:footnote>
  <w:footnote w:id="10">
    <w:p w14:paraId="7B64C07F" w14:textId="77777777" w:rsidR="00D05578" w:rsidRDefault="00D05578">
      <w:pPr>
        <w:pStyle w:val="Textonotapie"/>
      </w:pPr>
      <w:r>
        <w:rPr>
          <w:rStyle w:val="Refdenotaalpie"/>
        </w:rPr>
        <w:footnoteRef/>
      </w:r>
      <w:r>
        <w:t xml:space="preserve"> </w:t>
      </w:r>
      <w:r>
        <w:tab/>
      </w:r>
      <w:r w:rsidR="00CE1268" w:rsidRPr="007D3E64">
        <w:rPr>
          <w:i/>
        </w:rPr>
        <w:t>Cfr</w:t>
      </w:r>
      <w:r w:rsidR="00CE1268">
        <w:rPr>
          <w:i/>
        </w:rPr>
        <w:t xml:space="preserve">. </w:t>
      </w:r>
      <w:r w:rsidR="00CE1268">
        <w:t>Voto disidente del Juez Humberto Antonio Sierra Porto a la R</w:t>
      </w:r>
      <w:r w:rsidR="00CE1268" w:rsidRPr="007D3E64">
        <w:t>esolución de la Corte Interamericana de Derechos Humanos de 8 de febrero de 2018</w:t>
      </w:r>
      <w:r w:rsidR="00CE1268">
        <w:t xml:space="preserve"> emitida para el caso </w:t>
      </w:r>
      <w:r w:rsidR="00CE1268">
        <w:rPr>
          <w:i/>
        </w:rPr>
        <w:t xml:space="preserve">Durand y Ugarte </w:t>
      </w:r>
      <w:r w:rsidR="00CE1268">
        <w:t>(</w:t>
      </w:r>
      <w:r w:rsidR="00CE1268">
        <w:rPr>
          <w:i/>
        </w:rPr>
        <w:t xml:space="preserve">supra </w:t>
      </w:r>
      <w:r w:rsidR="00CE1268">
        <w:t>nota 2), Considerando 8.</w:t>
      </w:r>
    </w:p>
  </w:footnote>
  <w:footnote w:id="11">
    <w:p w14:paraId="6339B6F4" w14:textId="77777777" w:rsidR="00D05578" w:rsidRDefault="00D05578">
      <w:pPr>
        <w:pStyle w:val="Textonotapie"/>
      </w:pPr>
      <w:r>
        <w:rPr>
          <w:rStyle w:val="Refdenotaalpie"/>
        </w:rPr>
        <w:footnoteRef/>
      </w:r>
      <w:r>
        <w:t xml:space="preserve"> </w:t>
      </w:r>
      <w:r>
        <w:tab/>
      </w:r>
      <w:r w:rsidR="00CE1268">
        <w:rPr>
          <w:i/>
        </w:rPr>
        <w:t xml:space="preserve">Supra </w:t>
      </w:r>
      <w:r w:rsidR="00CE1268">
        <w:t>nota 10</w:t>
      </w:r>
      <w:r>
        <w:t xml:space="preserve">. </w:t>
      </w:r>
    </w:p>
  </w:footnote>
  <w:footnote w:id="12">
    <w:p w14:paraId="382CA15B" w14:textId="77777777" w:rsidR="00CE1268" w:rsidRPr="00CE1268" w:rsidRDefault="00CE1268">
      <w:pPr>
        <w:pStyle w:val="Textonotapie"/>
      </w:pPr>
      <w:r>
        <w:rPr>
          <w:rStyle w:val="Refdenotaalpie"/>
        </w:rPr>
        <w:footnoteRef/>
      </w:r>
      <w:r>
        <w:t xml:space="preserve"> </w:t>
      </w:r>
      <w:r>
        <w:tab/>
      </w:r>
      <w:r>
        <w:rPr>
          <w:i/>
        </w:rPr>
        <w:t xml:space="preserve">Supra </w:t>
      </w:r>
      <w:r>
        <w:t>nota 1, Considerando 38.</w:t>
      </w:r>
    </w:p>
  </w:footnote>
  <w:footnote w:id="13">
    <w:p w14:paraId="2336FD6C" w14:textId="77777777" w:rsidR="00D05578" w:rsidRDefault="00D05578">
      <w:pPr>
        <w:pStyle w:val="Textonotapie"/>
      </w:pPr>
      <w:r>
        <w:rPr>
          <w:rStyle w:val="Refdenotaalpie"/>
        </w:rPr>
        <w:footnoteRef/>
      </w:r>
      <w:r>
        <w:t xml:space="preserve"> </w:t>
      </w:r>
      <w:r>
        <w:tab/>
      </w:r>
      <w:r w:rsidRPr="001733DA">
        <w:t xml:space="preserve">Es por este motivo que en la Resolución se recordaron las obligaciones convencionales de </w:t>
      </w:r>
      <w:r w:rsidR="00A16FCD">
        <w:t>los Estados parte de cumplir de</w:t>
      </w:r>
      <w:r w:rsidRPr="001733DA">
        <w:t xml:space="preserve"> buena fe con el derecho internacional, así como la jurisprudencia constante de la Corte respecto a la protección de la independencia judicial</w:t>
      </w:r>
      <w:r>
        <w:t>.</w:t>
      </w:r>
      <w:r w:rsidR="00CE1268">
        <w:t xml:space="preserve"> </w:t>
      </w:r>
      <w:r w:rsidR="00CE1268">
        <w:rPr>
          <w:i/>
        </w:rPr>
        <w:t xml:space="preserve">Supra </w:t>
      </w:r>
      <w:r w:rsidR="00CE1268">
        <w:t>nota 1,</w:t>
      </w:r>
      <w:r w:rsidR="00A16FCD">
        <w:t xml:space="preserve"> Considerandos 39</w:t>
      </w:r>
      <w:r>
        <w:t xml:space="preserve"> a 44.</w:t>
      </w:r>
    </w:p>
  </w:footnote>
  <w:footnote w:id="14">
    <w:p w14:paraId="0FA4D827" w14:textId="77777777" w:rsidR="00D05578" w:rsidRDefault="00D05578" w:rsidP="00D05578">
      <w:pPr>
        <w:pStyle w:val="Textonotapie"/>
      </w:pPr>
      <w:r>
        <w:rPr>
          <w:rStyle w:val="Refdenotaalpie"/>
        </w:rPr>
        <w:footnoteRef/>
      </w:r>
      <w:r>
        <w:t xml:space="preserve"> </w:t>
      </w:r>
      <w:r>
        <w:tab/>
      </w:r>
      <w:r w:rsidR="00910412">
        <w:rPr>
          <w:i/>
        </w:rPr>
        <w:t xml:space="preserve">Supra </w:t>
      </w:r>
      <w:r w:rsidR="00910412">
        <w:t>nota 10, Considerando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C05F" w14:textId="77777777" w:rsidR="00D05578" w:rsidRDefault="00D05578">
    <w:pPr>
      <w:pStyle w:val="Encabezado"/>
      <w:jc w:val="center"/>
    </w:pPr>
  </w:p>
  <w:p w14:paraId="7C6BC44A" w14:textId="77777777" w:rsidR="00D05578" w:rsidRPr="00A37D36" w:rsidRDefault="00D05578" w:rsidP="00D05578">
    <w:pPr>
      <w:pStyle w:val="Encabezad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407"/>
    <w:multiLevelType w:val="hybridMultilevel"/>
    <w:tmpl w:val="B2481DBE"/>
    <w:lvl w:ilvl="0" w:tplc="15AEF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0619"/>
    <w:multiLevelType w:val="hybridMultilevel"/>
    <w:tmpl w:val="57CA5D12"/>
    <w:lvl w:ilvl="0" w:tplc="0F3A81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F3989"/>
    <w:multiLevelType w:val="hybridMultilevel"/>
    <w:tmpl w:val="CBE0FA02"/>
    <w:lvl w:ilvl="0" w:tplc="B3123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160E22"/>
    <w:multiLevelType w:val="hybridMultilevel"/>
    <w:tmpl w:val="225C67F8"/>
    <w:lvl w:ilvl="0" w:tplc="1B18DA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E6930"/>
    <w:multiLevelType w:val="hybridMultilevel"/>
    <w:tmpl w:val="88DA9524"/>
    <w:lvl w:ilvl="0" w:tplc="0B1C93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D6ECD"/>
    <w:multiLevelType w:val="hybridMultilevel"/>
    <w:tmpl w:val="6C929452"/>
    <w:lvl w:ilvl="0" w:tplc="FE7EEBC4">
      <w:start w:val="1"/>
      <w:numFmt w:val="lowerLetter"/>
      <w:lvlText w:val="%1)"/>
      <w:lvlJc w:val="left"/>
      <w:pPr>
        <w:ind w:left="1080" w:hanging="360"/>
      </w:pPr>
      <w:rPr>
        <w:rFonts w:ascii="Verdana" w:hAnsi="Verdana" w:hint="default"/>
        <w:sz w:val="20"/>
        <w:szCs w:val="20"/>
      </w:rPr>
    </w:lvl>
    <w:lvl w:ilvl="1" w:tplc="41E2F45E">
      <w:start w:val="1"/>
      <w:numFmt w:val="decimal"/>
      <w:lvlText w:val="%2."/>
      <w:lvlJc w:val="left"/>
      <w:pPr>
        <w:tabs>
          <w:tab w:val="num" w:pos="0"/>
        </w:tabs>
        <w:ind w:left="0" w:firstLine="0"/>
      </w:pPr>
      <w:rPr>
        <w:rFonts w:ascii="Verdana" w:hAnsi="Verdana" w:hint="default"/>
        <w:b w:val="0"/>
        <w:i w:val="0"/>
        <w:strike w:val="0"/>
        <w:color w:val="auto"/>
        <w:sz w:val="20"/>
        <w:szCs w:val="20"/>
        <w:lang w:val="es-CR"/>
      </w:rPr>
    </w:lvl>
    <w:lvl w:ilvl="2" w:tplc="FE7EEBC4">
      <w:start w:val="1"/>
      <w:numFmt w:val="lowerLetter"/>
      <w:lvlText w:val="%3)"/>
      <w:lvlJc w:val="left"/>
      <w:pPr>
        <w:ind w:left="2700" w:hanging="360"/>
      </w:pPr>
      <w:rPr>
        <w:rFonts w:ascii="Verdana" w:hAnsi="Verdana" w:hint="default"/>
        <w:sz w:val="20"/>
        <w:szCs w:val="20"/>
      </w:rPr>
    </w:lvl>
    <w:lvl w:ilvl="3" w:tplc="9E129040">
      <w:start w:val="2"/>
      <w:numFmt w:val="upperRoman"/>
      <w:lvlText w:val="%4."/>
      <w:lvlJc w:val="left"/>
      <w:pPr>
        <w:ind w:left="3600" w:hanging="720"/>
      </w:pPr>
      <w:rPr>
        <w:rFonts w:hint="default"/>
      </w:rPr>
    </w:lvl>
    <w:lvl w:ilvl="4" w:tplc="2C0A0019">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FD"/>
    <w:rsid w:val="00031C0C"/>
    <w:rsid w:val="000812B0"/>
    <w:rsid w:val="000A2EFE"/>
    <w:rsid w:val="000A355D"/>
    <w:rsid w:val="00116F48"/>
    <w:rsid w:val="001512BE"/>
    <w:rsid w:val="001701FE"/>
    <w:rsid w:val="00171EBC"/>
    <w:rsid w:val="001733DA"/>
    <w:rsid w:val="001736DD"/>
    <w:rsid w:val="00186C9B"/>
    <w:rsid w:val="001A6EFA"/>
    <w:rsid w:val="001D4308"/>
    <w:rsid w:val="001F2DEF"/>
    <w:rsid w:val="00225DD5"/>
    <w:rsid w:val="002532E5"/>
    <w:rsid w:val="0025469D"/>
    <w:rsid w:val="00275A77"/>
    <w:rsid w:val="0028598C"/>
    <w:rsid w:val="002E315C"/>
    <w:rsid w:val="003C06A9"/>
    <w:rsid w:val="003E1D32"/>
    <w:rsid w:val="004517A5"/>
    <w:rsid w:val="0049545F"/>
    <w:rsid w:val="004D18BC"/>
    <w:rsid w:val="0052202B"/>
    <w:rsid w:val="00533AFB"/>
    <w:rsid w:val="005C79F6"/>
    <w:rsid w:val="005D51CB"/>
    <w:rsid w:val="005F21F4"/>
    <w:rsid w:val="00653509"/>
    <w:rsid w:val="00695E3F"/>
    <w:rsid w:val="006A7E49"/>
    <w:rsid w:val="006C57CA"/>
    <w:rsid w:val="006F19B6"/>
    <w:rsid w:val="006F4098"/>
    <w:rsid w:val="007326AC"/>
    <w:rsid w:val="00732AA7"/>
    <w:rsid w:val="00751952"/>
    <w:rsid w:val="007533DC"/>
    <w:rsid w:val="00771D1D"/>
    <w:rsid w:val="007C3377"/>
    <w:rsid w:val="007D3E64"/>
    <w:rsid w:val="0084520B"/>
    <w:rsid w:val="008745FD"/>
    <w:rsid w:val="00883640"/>
    <w:rsid w:val="008C3884"/>
    <w:rsid w:val="008C77A5"/>
    <w:rsid w:val="008F59F3"/>
    <w:rsid w:val="00910412"/>
    <w:rsid w:val="009216D9"/>
    <w:rsid w:val="0095038E"/>
    <w:rsid w:val="00955306"/>
    <w:rsid w:val="00A05CFE"/>
    <w:rsid w:val="00A16FCD"/>
    <w:rsid w:val="00AA066B"/>
    <w:rsid w:val="00AC4FAB"/>
    <w:rsid w:val="00AC68B6"/>
    <w:rsid w:val="00B274C6"/>
    <w:rsid w:val="00B32AD3"/>
    <w:rsid w:val="00B40501"/>
    <w:rsid w:val="00B612B9"/>
    <w:rsid w:val="00B67C95"/>
    <w:rsid w:val="00B84A97"/>
    <w:rsid w:val="00BC0102"/>
    <w:rsid w:val="00BD3C75"/>
    <w:rsid w:val="00C07BBC"/>
    <w:rsid w:val="00C3730C"/>
    <w:rsid w:val="00C42966"/>
    <w:rsid w:val="00CC7329"/>
    <w:rsid w:val="00CE1268"/>
    <w:rsid w:val="00D017D9"/>
    <w:rsid w:val="00D05578"/>
    <w:rsid w:val="00D146BF"/>
    <w:rsid w:val="00D6185A"/>
    <w:rsid w:val="00D9767A"/>
    <w:rsid w:val="00E73A7A"/>
    <w:rsid w:val="00E75023"/>
    <w:rsid w:val="00EB08D5"/>
    <w:rsid w:val="00F90921"/>
    <w:rsid w:val="00FB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0967D0"/>
  <w15:docId w15:val="{7F938CE5-0642-4822-89BF-1DCD156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B6"/>
    <w:pPr>
      <w:spacing w:after="480" w:line="276"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Footnote,List Paragraph2,List Paragraph1,Colorful List - Accent 11,Lista vistosa - Énfasis 11"/>
    <w:basedOn w:val="Normal"/>
    <w:link w:val="PrrafodelistaCar"/>
    <w:qFormat/>
    <w:rsid w:val="00AC68B6"/>
    <w:pPr>
      <w:spacing w:after="0" w:line="240" w:lineRule="auto"/>
      <w:ind w:left="720"/>
      <w:contextualSpacing/>
    </w:pPr>
    <w:rPr>
      <w:rFonts w:ascii="Times New Roman" w:eastAsia="Calibri" w:hAnsi="Times New Roman" w:cs="Times New Roman"/>
      <w:sz w:val="24"/>
      <w:szCs w:val="24"/>
      <w:lang w:val="es-ES_tradnl"/>
    </w:rPr>
  </w:style>
  <w:style w:type="character" w:customStyle="1" w:styleId="PrrafodelistaCar">
    <w:name w:val="Párrafo de lista Car"/>
    <w:aliases w:val="Párrafo de lista1 Car,Footnote Car,List Paragraph2 Car,List Paragraph1 Car,Colorful List - Accent 11 Car,Lista vistosa - Énfasis 11 Car"/>
    <w:basedOn w:val="Fuentedeprrafopredeter"/>
    <w:link w:val="Prrafodelista"/>
    <w:locked/>
    <w:rsid w:val="00AC68B6"/>
    <w:rPr>
      <w:rFonts w:ascii="Times New Roman" w:eastAsia="Calibri" w:hAnsi="Times New Roman" w:cs="Times New Roman"/>
      <w:sz w:val="24"/>
      <w:szCs w:val="24"/>
      <w:lang w:val="es-ES_tradnl"/>
    </w:rPr>
  </w:style>
  <w:style w:type="paragraph" w:styleId="Encabezado">
    <w:name w:val="header"/>
    <w:basedOn w:val="Normal"/>
    <w:link w:val="EncabezadoCar"/>
    <w:uiPriority w:val="99"/>
    <w:unhideWhenUsed/>
    <w:rsid w:val="00AC6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8B6"/>
    <w:rPr>
      <w:lang w:val="es-CR"/>
    </w:rPr>
  </w:style>
  <w:style w:type="paragraph" w:styleId="NormalWeb">
    <w:name w:val="Normal (Web)"/>
    <w:aliases w:val="Normal (Web) Char1,Normal (Web) Char Char,Normal (Web) Char1 Char,Normal (Web) Char Char Char"/>
    <w:basedOn w:val="Normal"/>
    <w:uiPriority w:val="99"/>
    <w:unhideWhenUsed/>
    <w:rsid w:val="00AC68B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iedepgina">
    <w:name w:val="footer"/>
    <w:basedOn w:val="Normal"/>
    <w:link w:val="PiedepginaCar"/>
    <w:uiPriority w:val="99"/>
    <w:unhideWhenUsed/>
    <w:rsid w:val="00AC68B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68B6"/>
    <w:rPr>
      <w:lang w:val="es-CR"/>
    </w:rPr>
  </w:style>
  <w:style w:type="paragraph" w:styleId="Textonotapie">
    <w:name w:val="footnote text"/>
    <w:aliases w:val="FA Fu,Footnote Text Char Char Char Char Char,Footnote Text Char Char Char Char,Footnote reference,Footnote Text Char Char Char,Footnote Text Cha,FA Fußnotentext,FA Fuﬂnotentext,Footnote Text Char Char,footnote text,Ca,C"/>
    <w:basedOn w:val="Normal"/>
    <w:link w:val="TextonotapieCar"/>
    <w:unhideWhenUsed/>
    <w:qFormat/>
    <w:rsid w:val="007D3E64"/>
    <w:pPr>
      <w:spacing w:after="0" w:line="240" w:lineRule="auto"/>
      <w:jc w:val="both"/>
    </w:pPr>
    <w:rPr>
      <w:rFonts w:ascii="Verdana" w:hAnsi="Verdana"/>
      <w:sz w:val="16"/>
      <w:szCs w:val="20"/>
    </w:rPr>
  </w:style>
  <w:style w:type="character" w:customStyle="1" w:styleId="TextonotapieCar">
    <w:name w:val="Texto nota pie Car"/>
    <w:aliases w:val="FA Fu Car1,Footnote Text Char Char Char Char Char Car1,Footnote Text Char Char Char Char Car1,Footnote reference Car1,Footnote Text Char Char Char Car1,Footnote Text Cha Car1,FA Fußnotentext Car1,FA Fuﬂnotentext Car1,footnote text Car"/>
    <w:basedOn w:val="Fuentedeprrafopredeter"/>
    <w:link w:val="Textonotapie"/>
    <w:uiPriority w:val="99"/>
    <w:semiHidden/>
    <w:rsid w:val="007D3E64"/>
    <w:rPr>
      <w:rFonts w:ascii="Verdana" w:hAnsi="Verdana"/>
      <w:sz w:val="16"/>
      <w:szCs w:val="20"/>
      <w:lang w:val="es-CR"/>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basedOn w:val="Fuentedeprrafopredeter"/>
    <w:link w:val="4GChar"/>
    <w:unhideWhenUsed/>
    <w:qFormat/>
    <w:rsid w:val="00AC68B6"/>
    <w:rPr>
      <w:vertAlign w:val="superscript"/>
    </w:rPr>
  </w:style>
  <w:style w:type="character" w:customStyle="1" w:styleId="TextonotapieCar1">
    <w:name w:val="Texto nota pie Car1"/>
    <w:aliases w:val="FA Fu Car,Footnote Text Char Char Char Char Char Car,Footnote Text Char Char Char Char Car,Footnote reference Car,Footnote Text Char Char Char Car,Footnote Text Cha Car,FA Fußnotentext Car,FA Fuﬂnotentext Car,Texto nota pie Car Car"/>
    <w:qFormat/>
    <w:rsid w:val="00732AA7"/>
    <w:rPr>
      <w:rFonts w:ascii="Times New Roman" w:eastAsia="Times New Roman" w:hAnsi="Times New Roman" w:cs="Times New Roman"/>
      <w:sz w:val="20"/>
      <w:szCs w:val="20"/>
      <w:lang w:val="pt-BR" w:eastAsia="pt-BR"/>
    </w:rPr>
  </w:style>
  <w:style w:type="character" w:styleId="Textoennegrita">
    <w:name w:val="Strong"/>
    <w:uiPriority w:val="22"/>
    <w:qFormat/>
    <w:rsid w:val="00732AA7"/>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732AA7"/>
    <w:pPr>
      <w:spacing w:after="0" w:line="240" w:lineRule="auto"/>
      <w:jc w:val="both"/>
    </w:pPr>
    <w:rPr>
      <w:vertAlign w:val="superscript"/>
      <w:lang w:val="en-US"/>
    </w:rPr>
  </w:style>
  <w:style w:type="paragraph" w:styleId="Textodeglobo">
    <w:name w:val="Balloon Text"/>
    <w:basedOn w:val="Normal"/>
    <w:link w:val="TextodegloboCar"/>
    <w:uiPriority w:val="99"/>
    <w:semiHidden/>
    <w:unhideWhenUsed/>
    <w:rsid w:val="00031C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C0C"/>
    <w:rPr>
      <w:rFonts w:ascii="Segoe UI" w:hAnsi="Segoe UI" w:cs="Segoe UI"/>
      <w:sz w:val="18"/>
      <w:szCs w:val="18"/>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65BC-85F3-4EAE-80BC-C5EB1837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8987</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2019-11-08T21:10:00Z</cp:lastPrinted>
  <dcterms:created xsi:type="dcterms:W3CDTF">2019-11-12T23:13:00Z</dcterms:created>
  <dcterms:modified xsi:type="dcterms:W3CDTF">2019-11-12T23:13:00Z</dcterms:modified>
</cp:coreProperties>
</file>