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5946" w14:textId="77777777" w:rsidR="00A9614D" w:rsidRDefault="00A9614D" w:rsidP="00095C82">
      <w:pPr>
        <w:ind w:left="0"/>
        <w:jc w:val="center"/>
        <w:rPr>
          <w:rFonts w:ascii="Verdana" w:hAnsi="Verdana"/>
          <w:b/>
          <w:sz w:val="20"/>
          <w:szCs w:val="20"/>
          <w:lang w:val="es-CR"/>
        </w:rPr>
      </w:pPr>
      <w:bookmarkStart w:id="0" w:name="_GoBack"/>
      <w:bookmarkEnd w:id="0"/>
    </w:p>
    <w:p w14:paraId="14A2A827" w14:textId="77777777" w:rsidR="00A9614D" w:rsidRDefault="00A9614D" w:rsidP="00095C82">
      <w:pPr>
        <w:ind w:left="0"/>
        <w:jc w:val="center"/>
        <w:rPr>
          <w:rFonts w:ascii="Verdana" w:hAnsi="Verdana"/>
          <w:b/>
          <w:sz w:val="20"/>
          <w:szCs w:val="20"/>
          <w:lang w:val="es-CR"/>
        </w:rPr>
      </w:pPr>
    </w:p>
    <w:p w14:paraId="3F198BDA" w14:textId="77777777" w:rsidR="00A9614D" w:rsidRDefault="00A9614D" w:rsidP="00095C82">
      <w:pPr>
        <w:ind w:left="0"/>
        <w:jc w:val="center"/>
        <w:rPr>
          <w:rFonts w:ascii="Verdana" w:hAnsi="Verdana"/>
          <w:b/>
          <w:sz w:val="20"/>
          <w:szCs w:val="20"/>
          <w:lang w:val="es-CR"/>
        </w:rPr>
      </w:pPr>
    </w:p>
    <w:p w14:paraId="52170010" w14:textId="77777777" w:rsidR="00A9614D" w:rsidRDefault="00A9614D" w:rsidP="00095C82">
      <w:pPr>
        <w:ind w:left="0"/>
        <w:jc w:val="center"/>
        <w:rPr>
          <w:rFonts w:ascii="Verdana" w:hAnsi="Verdana"/>
          <w:b/>
          <w:sz w:val="20"/>
          <w:szCs w:val="20"/>
          <w:lang w:val="es-CR"/>
        </w:rPr>
      </w:pPr>
    </w:p>
    <w:p w14:paraId="576A45CB" w14:textId="77777777" w:rsidR="00A9614D" w:rsidRDefault="00A9614D" w:rsidP="00095C82">
      <w:pPr>
        <w:ind w:left="0"/>
        <w:jc w:val="center"/>
        <w:rPr>
          <w:rFonts w:ascii="Verdana" w:hAnsi="Verdana"/>
          <w:b/>
          <w:sz w:val="20"/>
          <w:szCs w:val="20"/>
          <w:lang w:val="es-CR"/>
        </w:rPr>
      </w:pPr>
    </w:p>
    <w:p w14:paraId="2E3C7F2B" w14:textId="77777777" w:rsidR="00903382" w:rsidRPr="00D84A52" w:rsidRDefault="00903382" w:rsidP="00095C82">
      <w:pPr>
        <w:ind w:left="0"/>
        <w:jc w:val="center"/>
        <w:rPr>
          <w:rFonts w:ascii="Verdana" w:hAnsi="Verdana"/>
          <w:b/>
          <w:sz w:val="20"/>
          <w:szCs w:val="20"/>
          <w:lang w:val="es-CR"/>
        </w:rPr>
      </w:pPr>
      <w:r w:rsidRPr="00D84A52">
        <w:rPr>
          <w:rFonts w:ascii="Verdana" w:hAnsi="Verdana"/>
          <w:b/>
          <w:sz w:val="20"/>
          <w:szCs w:val="20"/>
          <w:lang w:val="es-CR"/>
        </w:rPr>
        <w:t>VOTO DISIDENTE DEL JUEZ EDUARDO VIO GROSSI,</w:t>
      </w:r>
    </w:p>
    <w:p w14:paraId="61E75F79" w14:textId="77777777" w:rsidR="00903382" w:rsidRPr="00D84A52" w:rsidRDefault="00903382" w:rsidP="00095C82">
      <w:pPr>
        <w:ind w:left="0"/>
        <w:jc w:val="center"/>
        <w:rPr>
          <w:rFonts w:ascii="Verdana" w:hAnsi="Verdana"/>
          <w:b/>
          <w:sz w:val="20"/>
          <w:szCs w:val="20"/>
          <w:lang w:val="es-CR"/>
        </w:rPr>
      </w:pPr>
      <w:r w:rsidRPr="00D84A52">
        <w:rPr>
          <w:rFonts w:ascii="Verdana" w:hAnsi="Verdana"/>
          <w:b/>
          <w:sz w:val="20"/>
          <w:szCs w:val="20"/>
          <w:lang w:val="es-CR"/>
        </w:rPr>
        <w:t>RESOLUCIÓN DE LA</w:t>
      </w:r>
    </w:p>
    <w:p w14:paraId="04469068" w14:textId="77777777" w:rsidR="00903382" w:rsidRPr="00D84A52" w:rsidRDefault="00903382" w:rsidP="00095C82">
      <w:pPr>
        <w:ind w:left="0"/>
        <w:jc w:val="center"/>
        <w:rPr>
          <w:rFonts w:ascii="Verdana" w:hAnsi="Verdana"/>
          <w:b/>
          <w:sz w:val="20"/>
          <w:szCs w:val="20"/>
          <w:lang w:val="es-CR"/>
        </w:rPr>
      </w:pPr>
      <w:r w:rsidRPr="00D84A52">
        <w:rPr>
          <w:rFonts w:ascii="Verdana" w:hAnsi="Verdana"/>
          <w:b/>
          <w:sz w:val="20"/>
          <w:szCs w:val="20"/>
          <w:lang w:val="es-CR"/>
        </w:rPr>
        <w:t>CORTE INTERAMERICANA DE DERECHOS HUMANOS</w:t>
      </w:r>
    </w:p>
    <w:p w14:paraId="221EAB64" w14:textId="77777777" w:rsidR="00903382" w:rsidRPr="00D84A52" w:rsidRDefault="00903382" w:rsidP="00095C82">
      <w:pPr>
        <w:ind w:left="0"/>
        <w:jc w:val="center"/>
        <w:rPr>
          <w:rFonts w:ascii="Verdana" w:hAnsi="Verdana"/>
          <w:b/>
          <w:sz w:val="20"/>
          <w:szCs w:val="20"/>
          <w:lang w:val="es-CR"/>
        </w:rPr>
      </w:pPr>
      <w:r w:rsidRPr="00D84A52">
        <w:rPr>
          <w:rFonts w:ascii="Verdana" w:hAnsi="Verdana"/>
          <w:b/>
          <w:sz w:val="20"/>
          <w:szCs w:val="20"/>
          <w:lang w:val="es-CR"/>
        </w:rPr>
        <w:t>DE 3 DE SEPTIEMBRE DE 2019</w:t>
      </w:r>
      <w:r w:rsidR="00095C82">
        <w:rPr>
          <w:rFonts w:ascii="Verdana" w:hAnsi="Verdana"/>
          <w:b/>
          <w:sz w:val="20"/>
          <w:szCs w:val="20"/>
          <w:lang w:val="es-CR"/>
        </w:rPr>
        <w:t>,</w:t>
      </w:r>
    </w:p>
    <w:p w14:paraId="0DA1EB5B" w14:textId="77777777" w:rsidR="00903382" w:rsidRPr="00D84A52" w:rsidRDefault="00903382" w:rsidP="00095C82">
      <w:pPr>
        <w:ind w:left="0"/>
        <w:jc w:val="center"/>
        <w:rPr>
          <w:rFonts w:ascii="Verdana" w:hAnsi="Verdana"/>
          <w:b/>
          <w:sz w:val="20"/>
          <w:szCs w:val="20"/>
          <w:lang w:val="es-CR"/>
        </w:rPr>
      </w:pPr>
      <w:r w:rsidRPr="00D84A52">
        <w:rPr>
          <w:rFonts w:ascii="Verdana" w:hAnsi="Verdana"/>
          <w:b/>
          <w:sz w:val="20"/>
          <w:szCs w:val="20"/>
          <w:lang w:val="es-CR"/>
        </w:rPr>
        <w:t>SOLICITUD DE MEDIDAS PROVISIONALES Y</w:t>
      </w:r>
    </w:p>
    <w:p w14:paraId="17CEB53D" w14:textId="77777777" w:rsidR="00903382" w:rsidRPr="00D84A52" w:rsidRDefault="00903382" w:rsidP="00095C82">
      <w:pPr>
        <w:ind w:left="0"/>
        <w:jc w:val="center"/>
        <w:rPr>
          <w:rFonts w:ascii="Verdana" w:hAnsi="Verdana"/>
          <w:b/>
          <w:sz w:val="20"/>
          <w:szCs w:val="20"/>
          <w:lang w:val="es-CR"/>
        </w:rPr>
      </w:pPr>
      <w:r w:rsidRPr="00D84A52">
        <w:rPr>
          <w:rFonts w:ascii="Verdana" w:hAnsi="Verdana"/>
          <w:b/>
          <w:sz w:val="20"/>
          <w:szCs w:val="20"/>
          <w:lang w:val="es-CR"/>
        </w:rPr>
        <w:t>SUPERVISIÓN DE CUMPLIMIENTO DE SENTENCIA</w:t>
      </w:r>
      <w:r w:rsidR="00095C82">
        <w:rPr>
          <w:rFonts w:ascii="Verdana" w:hAnsi="Verdana"/>
          <w:b/>
          <w:sz w:val="20"/>
          <w:szCs w:val="20"/>
          <w:lang w:val="es-CR"/>
        </w:rPr>
        <w:t>,</w:t>
      </w:r>
    </w:p>
    <w:p w14:paraId="700B9AF5" w14:textId="6F40CBFC" w:rsidR="00903382" w:rsidRPr="00D84A52" w:rsidRDefault="00903382" w:rsidP="00095C82">
      <w:pPr>
        <w:ind w:left="0"/>
        <w:jc w:val="center"/>
        <w:rPr>
          <w:rFonts w:ascii="Verdana" w:hAnsi="Verdana"/>
          <w:b/>
          <w:i/>
          <w:sz w:val="20"/>
          <w:szCs w:val="20"/>
          <w:lang w:val="es-CR"/>
        </w:rPr>
      </w:pPr>
      <w:r w:rsidRPr="00D84A52">
        <w:rPr>
          <w:rFonts w:ascii="Verdana" w:hAnsi="Verdana"/>
          <w:b/>
          <w:i/>
          <w:sz w:val="20"/>
          <w:szCs w:val="20"/>
          <w:lang w:val="es-CR"/>
        </w:rPr>
        <w:t xml:space="preserve">CASO MASACRES </w:t>
      </w:r>
      <w:r w:rsidR="00095C82">
        <w:rPr>
          <w:rFonts w:ascii="Verdana" w:hAnsi="Verdana"/>
          <w:b/>
          <w:i/>
          <w:sz w:val="20"/>
          <w:szCs w:val="20"/>
          <w:lang w:val="es-CR"/>
        </w:rPr>
        <w:t>DE E</w:t>
      </w:r>
      <w:r w:rsidR="00DC34B6">
        <w:rPr>
          <w:rFonts w:ascii="Verdana" w:hAnsi="Verdana"/>
          <w:b/>
          <w:i/>
          <w:sz w:val="20"/>
          <w:szCs w:val="20"/>
          <w:lang w:val="es-CR"/>
        </w:rPr>
        <w:t>L</w:t>
      </w:r>
      <w:r w:rsidR="00095C82">
        <w:rPr>
          <w:rFonts w:ascii="Verdana" w:hAnsi="Verdana"/>
          <w:b/>
          <w:i/>
          <w:sz w:val="20"/>
          <w:szCs w:val="20"/>
          <w:lang w:val="es-CR"/>
        </w:rPr>
        <w:t xml:space="preserve"> MOZOTE Y LUGARES ALEDAÑOS </w:t>
      </w:r>
      <w:r w:rsidRPr="00D84A52">
        <w:rPr>
          <w:rFonts w:ascii="Verdana" w:hAnsi="Verdana"/>
          <w:b/>
          <w:i/>
          <w:sz w:val="20"/>
          <w:szCs w:val="20"/>
          <w:lang w:val="es-CR"/>
        </w:rPr>
        <w:t>VS. EL SALVADOR</w:t>
      </w:r>
    </w:p>
    <w:p w14:paraId="084492E2" w14:textId="77777777" w:rsidR="00903382" w:rsidRPr="00D84A52" w:rsidRDefault="00903382" w:rsidP="00D4486E">
      <w:pPr>
        <w:pStyle w:val="Prrafodelista"/>
        <w:ind w:left="0"/>
        <w:rPr>
          <w:rFonts w:ascii="Verdana" w:hAnsi="Verdana"/>
          <w:b/>
          <w:sz w:val="20"/>
          <w:szCs w:val="20"/>
        </w:rPr>
      </w:pPr>
    </w:p>
    <w:p w14:paraId="49C38E8A" w14:textId="77777777" w:rsidR="00903382" w:rsidRPr="00D84A52" w:rsidRDefault="00903382" w:rsidP="00D4486E">
      <w:pPr>
        <w:pStyle w:val="Prrafodelista"/>
        <w:ind w:left="0"/>
        <w:rPr>
          <w:rFonts w:ascii="Verdana" w:hAnsi="Verdana"/>
          <w:b/>
          <w:sz w:val="20"/>
          <w:szCs w:val="20"/>
        </w:rPr>
      </w:pPr>
    </w:p>
    <w:p w14:paraId="6E4024F0" w14:textId="77777777" w:rsidR="00C1764C" w:rsidRPr="00D84A52" w:rsidRDefault="00AC1795" w:rsidP="00D4486E">
      <w:pPr>
        <w:pStyle w:val="Prrafodelista"/>
        <w:spacing w:after="100" w:afterAutospacing="1"/>
        <w:ind w:left="0"/>
        <w:rPr>
          <w:rFonts w:ascii="Verdana" w:hAnsi="Verdana"/>
          <w:b/>
          <w:sz w:val="20"/>
          <w:szCs w:val="20"/>
        </w:rPr>
      </w:pPr>
      <w:r w:rsidRPr="00D84A52">
        <w:rPr>
          <w:rFonts w:ascii="Verdana" w:hAnsi="Verdana"/>
          <w:b/>
          <w:sz w:val="20"/>
          <w:szCs w:val="20"/>
        </w:rPr>
        <w:t>INTRODUCCIÓN.</w:t>
      </w:r>
    </w:p>
    <w:p w14:paraId="2DD5FF1A" w14:textId="293F7D9A" w:rsidR="009F4693" w:rsidRPr="00D84A52" w:rsidRDefault="00C1764C" w:rsidP="00D4486E">
      <w:pPr>
        <w:spacing w:after="100" w:afterAutospacing="1"/>
        <w:ind w:left="0"/>
        <w:rPr>
          <w:rFonts w:ascii="Verdana" w:eastAsia="Calibri" w:hAnsi="Verdana" w:cs="Times New Roman"/>
          <w:sz w:val="20"/>
          <w:szCs w:val="20"/>
          <w:lang w:val="es-ES"/>
        </w:rPr>
      </w:pPr>
      <w:r w:rsidRPr="00D84A52">
        <w:rPr>
          <w:rFonts w:ascii="Verdana" w:eastAsia="Calibri" w:hAnsi="Verdana" w:cs="Times New Roman"/>
          <w:sz w:val="20"/>
          <w:szCs w:val="20"/>
          <w:lang w:val="es-ES"/>
        </w:rPr>
        <w:t>Se formula el presente voto disidente re</w:t>
      </w:r>
      <w:r w:rsidR="00BA1751" w:rsidRPr="00D84A52">
        <w:rPr>
          <w:rFonts w:ascii="Verdana" w:eastAsia="Calibri" w:hAnsi="Verdana" w:cs="Times New Roman"/>
          <w:sz w:val="20"/>
          <w:szCs w:val="20"/>
          <w:lang w:val="es-ES"/>
        </w:rPr>
        <w:t>specto de la Resolución señalada</w:t>
      </w:r>
      <w:r w:rsidRPr="00D84A52">
        <w:rPr>
          <w:rFonts w:ascii="Verdana" w:eastAsia="Calibri" w:hAnsi="Verdana" w:cs="Times New Roman"/>
          <w:sz w:val="20"/>
          <w:szCs w:val="20"/>
          <w:lang w:val="es-ES"/>
        </w:rPr>
        <w:t xml:space="preserve"> en el rótulo</w:t>
      </w:r>
      <w:r w:rsidRPr="00D84A52">
        <w:rPr>
          <w:rStyle w:val="Refdenotaalpie"/>
          <w:rFonts w:ascii="Verdana" w:eastAsia="Calibri" w:hAnsi="Verdana" w:cs="Times New Roman"/>
          <w:sz w:val="20"/>
          <w:szCs w:val="20"/>
          <w:lang w:val="es-ES"/>
        </w:rPr>
        <w:footnoteReference w:id="1"/>
      </w:r>
      <w:r w:rsidRPr="00D84A52">
        <w:rPr>
          <w:rFonts w:ascii="Verdana" w:eastAsia="Calibri" w:hAnsi="Verdana" w:cs="Times New Roman"/>
          <w:sz w:val="20"/>
          <w:szCs w:val="20"/>
          <w:lang w:val="es-ES"/>
        </w:rPr>
        <w:t>, en mérito de que</w:t>
      </w:r>
      <w:r w:rsidR="000413AF" w:rsidRPr="00D84A52">
        <w:rPr>
          <w:rFonts w:ascii="Verdana" w:eastAsia="Calibri" w:hAnsi="Verdana" w:cs="Times New Roman"/>
          <w:sz w:val="20"/>
          <w:szCs w:val="20"/>
          <w:lang w:val="es-ES"/>
        </w:rPr>
        <w:t xml:space="preserve"> se</w:t>
      </w:r>
      <w:r w:rsidR="009F4693" w:rsidRPr="00D84A52">
        <w:rPr>
          <w:rFonts w:ascii="Verdana" w:eastAsia="Calibri" w:hAnsi="Verdana" w:cs="Times New Roman"/>
          <w:sz w:val="20"/>
          <w:szCs w:val="20"/>
          <w:lang w:val="es-ES"/>
        </w:rPr>
        <w:t xml:space="preserve"> discrepa de </w:t>
      </w:r>
      <w:r w:rsidR="00B041C5" w:rsidRPr="00D84A52">
        <w:rPr>
          <w:rFonts w:ascii="Verdana" w:eastAsia="Calibri" w:hAnsi="Verdana" w:cs="Times New Roman"/>
          <w:sz w:val="20"/>
          <w:szCs w:val="20"/>
          <w:lang w:val="es-ES"/>
        </w:rPr>
        <w:t xml:space="preserve">lo que se expresa en </w:t>
      </w:r>
      <w:r w:rsidR="009F4693" w:rsidRPr="00D84A52">
        <w:rPr>
          <w:rFonts w:ascii="Verdana" w:eastAsia="Calibri" w:hAnsi="Verdana" w:cs="Times New Roman"/>
          <w:sz w:val="20"/>
          <w:szCs w:val="20"/>
          <w:lang w:val="es-ES"/>
        </w:rPr>
        <w:t>su</w:t>
      </w:r>
      <w:r w:rsidR="00B041C5" w:rsidRPr="00D84A52">
        <w:rPr>
          <w:rFonts w:ascii="Verdana" w:eastAsia="Calibri" w:hAnsi="Verdana" w:cs="Times New Roman"/>
          <w:sz w:val="20"/>
          <w:szCs w:val="20"/>
          <w:lang w:val="es-ES"/>
        </w:rPr>
        <w:t xml:space="preserve"> resolutivo n° 1, a saber,</w:t>
      </w:r>
      <w:r w:rsidR="009F4693" w:rsidRPr="00D84A52">
        <w:rPr>
          <w:rFonts w:ascii="Verdana" w:eastAsia="Calibri" w:hAnsi="Verdana" w:cs="Times New Roman"/>
          <w:sz w:val="20"/>
          <w:szCs w:val="20"/>
          <w:lang w:val="es-ES"/>
        </w:rPr>
        <w:t xml:space="preserve"> que</w:t>
      </w:r>
      <w:r w:rsidR="00F21CF2" w:rsidRPr="00D84A52">
        <w:rPr>
          <w:rFonts w:ascii="Verdana" w:eastAsia="Calibri" w:hAnsi="Verdana" w:cs="Times New Roman"/>
          <w:sz w:val="20"/>
          <w:szCs w:val="20"/>
          <w:lang w:val="es-ES"/>
        </w:rPr>
        <w:t xml:space="preserve"> </w:t>
      </w:r>
      <w:r w:rsidR="009F4693" w:rsidRPr="00D84A52">
        <w:rPr>
          <w:rFonts w:ascii="Verdana" w:eastAsia="Calibri" w:hAnsi="Verdana" w:cs="Times New Roman"/>
          <w:sz w:val="20"/>
          <w:szCs w:val="20"/>
          <w:lang w:val="es-ES"/>
        </w:rPr>
        <w:t xml:space="preserve"> </w:t>
      </w:r>
      <w:r w:rsidR="00B041C5" w:rsidRPr="00D84A52">
        <w:rPr>
          <w:rFonts w:ascii="Verdana" w:hAnsi="Verdana" w:cs="Verdana"/>
          <w:i/>
          <w:sz w:val="20"/>
          <w:szCs w:val="20"/>
          <w:lang w:val="es-CR"/>
        </w:rPr>
        <w:t>(t)</w:t>
      </w:r>
      <w:proofErr w:type="spellStart"/>
      <w:r w:rsidR="009F4693" w:rsidRPr="00D84A52">
        <w:rPr>
          <w:rFonts w:ascii="Verdana" w:hAnsi="Verdana" w:cs="Verdana"/>
          <w:i/>
          <w:sz w:val="20"/>
          <w:szCs w:val="20"/>
          <w:lang w:val="es-CR"/>
        </w:rPr>
        <w:t>omando</w:t>
      </w:r>
      <w:proofErr w:type="spellEnd"/>
      <w:r w:rsidR="009F4693" w:rsidRPr="00D84A52">
        <w:rPr>
          <w:rFonts w:ascii="Verdana" w:hAnsi="Verdana" w:cs="Verdana"/>
          <w:i/>
          <w:sz w:val="20"/>
          <w:szCs w:val="20"/>
          <w:lang w:val="es-CR"/>
        </w:rPr>
        <w:t xml:space="preserve"> en consideración la información aportada con posterioridad a la Resolución de medidas urgentes del Presidente de 28 de mayo de 2019, </w:t>
      </w:r>
      <w:r w:rsidR="00BA1751" w:rsidRPr="00D84A52">
        <w:rPr>
          <w:rFonts w:ascii="Verdana" w:hAnsi="Verdana" w:cs="Verdana"/>
          <w:sz w:val="20"/>
          <w:szCs w:val="20"/>
          <w:lang w:val="es-CR"/>
        </w:rPr>
        <w:t>(decide)</w:t>
      </w:r>
      <w:r w:rsidR="00BA1751" w:rsidRPr="00D84A52">
        <w:rPr>
          <w:rFonts w:ascii="Verdana" w:hAnsi="Verdana" w:cs="Verdana"/>
          <w:i/>
          <w:sz w:val="20"/>
          <w:szCs w:val="20"/>
          <w:lang w:val="es-CR"/>
        </w:rPr>
        <w:t xml:space="preserve"> </w:t>
      </w:r>
      <w:r w:rsidR="009F4693" w:rsidRPr="00D84A52">
        <w:rPr>
          <w:rFonts w:ascii="Verdana" w:hAnsi="Verdana" w:cs="Verdana"/>
          <w:i/>
          <w:sz w:val="20"/>
          <w:szCs w:val="20"/>
          <w:lang w:val="es-CR"/>
        </w:rPr>
        <w:t xml:space="preserve">no ordenar al Estado la adopción de medidas provisionales a favor de las víctimas del caso Masacres de El Mozote y lugares aledaños, según lo indicado en los Considerandos </w:t>
      </w:r>
      <w:r w:rsidR="00DC34B6">
        <w:rPr>
          <w:rFonts w:ascii="Verdana" w:hAnsi="Verdana" w:cs="Verdana"/>
          <w:i/>
          <w:sz w:val="20"/>
          <w:szCs w:val="20"/>
          <w:lang w:val="es-CR"/>
        </w:rPr>
        <w:t>41</w:t>
      </w:r>
      <w:r w:rsidR="009F4693" w:rsidRPr="00D84A52">
        <w:rPr>
          <w:rFonts w:ascii="Verdana" w:hAnsi="Verdana" w:cs="Verdana"/>
          <w:i/>
          <w:sz w:val="20"/>
          <w:szCs w:val="20"/>
          <w:lang w:val="es-CR"/>
        </w:rPr>
        <w:t xml:space="preserve"> y </w:t>
      </w:r>
      <w:r w:rsidR="00DC34B6">
        <w:rPr>
          <w:rFonts w:ascii="Verdana" w:hAnsi="Verdana" w:cs="Verdana"/>
          <w:i/>
          <w:sz w:val="20"/>
          <w:szCs w:val="20"/>
          <w:lang w:val="es-CR"/>
        </w:rPr>
        <w:t>42</w:t>
      </w:r>
      <w:r w:rsidR="009F4693" w:rsidRPr="00D84A52">
        <w:rPr>
          <w:rFonts w:ascii="Verdana" w:hAnsi="Verdana" w:cs="Verdana"/>
          <w:i/>
          <w:sz w:val="20"/>
          <w:szCs w:val="20"/>
          <w:lang w:val="es-CR"/>
        </w:rPr>
        <w:t xml:space="preserve"> de la presente Resolución</w:t>
      </w:r>
      <w:r w:rsidR="009F4693" w:rsidRPr="00D84A52">
        <w:rPr>
          <w:rFonts w:ascii="Verdana" w:hAnsi="Verdana" w:cs="Verdana"/>
          <w:sz w:val="20"/>
          <w:szCs w:val="20"/>
          <w:lang w:val="es-CR"/>
        </w:rPr>
        <w:t>.”</w:t>
      </w:r>
    </w:p>
    <w:p w14:paraId="05A8624A" w14:textId="77777777" w:rsidR="00D07B42" w:rsidRDefault="00153F7B" w:rsidP="00D4486E">
      <w:pPr>
        <w:spacing w:after="100" w:afterAutospacing="1"/>
        <w:ind w:left="0"/>
        <w:rPr>
          <w:rFonts w:ascii="Verdana" w:eastAsia="Calibri" w:hAnsi="Verdana" w:cs="Times New Roman"/>
          <w:sz w:val="20"/>
          <w:szCs w:val="20"/>
          <w:lang w:val="es-ES"/>
        </w:rPr>
      </w:pPr>
      <w:r w:rsidRPr="00D84A52">
        <w:rPr>
          <w:rFonts w:ascii="Verdana" w:eastAsia="Calibri" w:hAnsi="Verdana" w:cs="Times New Roman"/>
          <w:sz w:val="20"/>
          <w:szCs w:val="20"/>
          <w:lang w:val="es-ES"/>
        </w:rPr>
        <w:t xml:space="preserve">Pues bien, las desavenencias con la Resolución </w:t>
      </w:r>
      <w:r w:rsidR="00C76E06" w:rsidRPr="00D84A52">
        <w:rPr>
          <w:rFonts w:ascii="Verdana" w:eastAsia="Calibri" w:hAnsi="Verdana" w:cs="Times New Roman"/>
          <w:sz w:val="20"/>
          <w:szCs w:val="20"/>
          <w:lang w:val="es-ES"/>
        </w:rPr>
        <w:t xml:space="preserve">específicamente </w:t>
      </w:r>
      <w:r w:rsidRPr="00D84A52">
        <w:rPr>
          <w:rFonts w:ascii="Verdana" w:eastAsia="Calibri" w:hAnsi="Verdana" w:cs="Times New Roman"/>
          <w:sz w:val="20"/>
          <w:szCs w:val="20"/>
          <w:lang w:val="es-ES"/>
        </w:rPr>
        <w:t>se refieren</w:t>
      </w:r>
      <w:r w:rsidR="00D07B42">
        <w:rPr>
          <w:rFonts w:ascii="Verdana" w:eastAsia="Calibri" w:hAnsi="Verdana" w:cs="Times New Roman"/>
          <w:sz w:val="20"/>
          <w:szCs w:val="20"/>
          <w:lang w:val="es-ES"/>
        </w:rPr>
        <w:t>, por una parte, a su fundamento y</w:t>
      </w:r>
      <w:r w:rsidR="00DC34B6">
        <w:rPr>
          <w:rFonts w:ascii="Verdana" w:eastAsia="Calibri" w:hAnsi="Verdana" w:cs="Times New Roman"/>
          <w:sz w:val="20"/>
          <w:szCs w:val="20"/>
          <w:lang w:val="es-ES"/>
        </w:rPr>
        <w:t>,</w:t>
      </w:r>
      <w:r w:rsidR="00D07B42">
        <w:rPr>
          <w:rFonts w:ascii="Verdana" w:eastAsia="Calibri" w:hAnsi="Verdana" w:cs="Times New Roman"/>
          <w:sz w:val="20"/>
          <w:szCs w:val="20"/>
          <w:lang w:val="es-ES"/>
        </w:rPr>
        <w:t xml:space="preserve"> por la otra, a las razones que, </w:t>
      </w:r>
      <w:r w:rsidR="003A22A2">
        <w:rPr>
          <w:rFonts w:ascii="Verdana" w:eastAsia="Calibri" w:hAnsi="Verdana" w:cs="Times New Roman"/>
          <w:sz w:val="20"/>
          <w:szCs w:val="20"/>
          <w:lang w:val="es-ES"/>
        </w:rPr>
        <w:t>consecuentemente, deberían haberse esgrimido para</w:t>
      </w:r>
      <w:r w:rsidR="00D07B42">
        <w:rPr>
          <w:rFonts w:ascii="Verdana" w:eastAsia="Calibri" w:hAnsi="Verdana" w:cs="Times New Roman"/>
          <w:sz w:val="20"/>
          <w:szCs w:val="20"/>
          <w:lang w:val="es-ES"/>
        </w:rPr>
        <w:t xml:space="preserve"> sustentarla.</w:t>
      </w:r>
    </w:p>
    <w:p w14:paraId="27CF5C31" w14:textId="77777777" w:rsidR="00D07B42" w:rsidRDefault="00CE36E6" w:rsidP="00B718D9">
      <w:pPr>
        <w:pStyle w:val="Prrafodelista"/>
        <w:numPr>
          <w:ilvl w:val="0"/>
          <w:numId w:val="10"/>
        </w:numPr>
        <w:spacing w:after="100" w:afterAutospacing="1"/>
        <w:ind w:left="720"/>
        <w:rPr>
          <w:rFonts w:ascii="Verdana" w:eastAsia="Calibri" w:hAnsi="Verdana" w:cs="Times New Roman"/>
          <w:b/>
          <w:sz w:val="20"/>
          <w:szCs w:val="20"/>
          <w:lang w:val="es-ES"/>
        </w:rPr>
      </w:pPr>
      <w:r w:rsidRPr="00CE36E6">
        <w:rPr>
          <w:rFonts w:ascii="Verdana" w:eastAsia="Calibri" w:hAnsi="Verdana" w:cs="Times New Roman"/>
          <w:b/>
          <w:sz w:val="20"/>
          <w:szCs w:val="20"/>
          <w:lang w:val="es-ES"/>
        </w:rPr>
        <w:t>EL FUNDAMENTO DE LA RESOLUCIÓN.</w:t>
      </w:r>
    </w:p>
    <w:p w14:paraId="59109D30" w14:textId="77777777" w:rsidR="00981A0B" w:rsidRDefault="00981A0B" w:rsidP="00D4486E">
      <w:pPr>
        <w:spacing w:after="100" w:afterAutospacing="1"/>
        <w:ind w:left="0"/>
        <w:rPr>
          <w:rFonts w:ascii="Verdana" w:eastAsia="Calibri" w:hAnsi="Verdana" w:cs="Times New Roman"/>
          <w:sz w:val="20"/>
          <w:szCs w:val="20"/>
          <w:lang w:val="es-ES"/>
        </w:rPr>
      </w:pPr>
      <w:r>
        <w:rPr>
          <w:rFonts w:ascii="Verdana" w:eastAsia="Calibri" w:hAnsi="Verdana" w:cs="Times New Roman"/>
          <w:sz w:val="20"/>
          <w:szCs w:val="20"/>
          <w:lang w:val="es-ES"/>
        </w:rPr>
        <w:t>Como consideración previa al fundamento de la Resolución</w:t>
      </w:r>
      <w:r w:rsidR="00D4486E">
        <w:rPr>
          <w:rFonts w:ascii="Verdana" w:eastAsia="Calibri" w:hAnsi="Verdana" w:cs="Times New Roman"/>
          <w:sz w:val="20"/>
          <w:szCs w:val="20"/>
          <w:lang w:val="es-ES"/>
        </w:rPr>
        <w:t xml:space="preserve">, es menester aludir </w:t>
      </w:r>
      <w:r w:rsidR="00E20FC7">
        <w:rPr>
          <w:rFonts w:ascii="Verdana" w:eastAsia="Calibri" w:hAnsi="Verdana" w:cs="Times New Roman"/>
          <w:sz w:val="20"/>
          <w:szCs w:val="20"/>
          <w:lang w:val="es-ES"/>
        </w:rPr>
        <w:t>previamente a su objeto</w:t>
      </w:r>
      <w:r w:rsidR="00D74A21">
        <w:rPr>
          <w:rFonts w:ascii="Verdana" w:eastAsia="Calibri" w:hAnsi="Verdana" w:cs="Times New Roman"/>
          <w:sz w:val="20"/>
          <w:szCs w:val="20"/>
          <w:lang w:val="es-ES"/>
        </w:rPr>
        <w:t>.</w:t>
      </w:r>
    </w:p>
    <w:p w14:paraId="6D6B2F06" w14:textId="77777777" w:rsidR="00981A0B" w:rsidRPr="00981A0B" w:rsidRDefault="00D74A21" w:rsidP="00B718D9">
      <w:pPr>
        <w:pStyle w:val="Prrafodelista"/>
        <w:numPr>
          <w:ilvl w:val="0"/>
          <w:numId w:val="11"/>
        </w:numPr>
        <w:spacing w:after="100" w:afterAutospacing="1"/>
        <w:ind w:left="360"/>
        <w:rPr>
          <w:rFonts w:ascii="Verdana" w:eastAsia="Calibri" w:hAnsi="Verdana" w:cs="Times New Roman"/>
          <w:b/>
          <w:sz w:val="20"/>
          <w:szCs w:val="20"/>
          <w:lang w:val="es-ES"/>
        </w:rPr>
      </w:pPr>
      <w:r>
        <w:rPr>
          <w:rFonts w:ascii="Verdana" w:eastAsia="Calibri" w:hAnsi="Verdana" w:cs="Times New Roman"/>
          <w:b/>
          <w:sz w:val="20"/>
          <w:szCs w:val="20"/>
          <w:lang w:val="es-ES"/>
        </w:rPr>
        <w:t xml:space="preserve">Objeto </w:t>
      </w:r>
      <w:r w:rsidR="00981A0B">
        <w:rPr>
          <w:rFonts w:ascii="Verdana" w:eastAsia="Calibri" w:hAnsi="Verdana" w:cs="Times New Roman"/>
          <w:b/>
          <w:sz w:val="20"/>
          <w:szCs w:val="20"/>
          <w:lang w:val="es-ES"/>
        </w:rPr>
        <w:t>de la Resolución</w:t>
      </w:r>
      <w:r w:rsidR="00981A0B" w:rsidRPr="00981A0B">
        <w:rPr>
          <w:rFonts w:ascii="Verdana" w:eastAsia="Calibri" w:hAnsi="Verdana" w:cs="Times New Roman"/>
          <w:b/>
          <w:sz w:val="20"/>
          <w:szCs w:val="20"/>
          <w:lang w:val="es-ES"/>
        </w:rPr>
        <w:t>.</w:t>
      </w:r>
    </w:p>
    <w:p w14:paraId="43F7EB4C" w14:textId="45C2B089" w:rsidR="00981A0B" w:rsidRPr="00D84A52" w:rsidRDefault="00981A0B" w:rsidP="00D4486E">
      <w:pPr>
        <w:spacing w:after="100" w:afterAutospacing="1"/>
        <w:ind w:left="0"/>
        <w:rPr>
          <w:rFonts w:ascii="Verdana" w:eastAsia="Calibri" w:hAnsi="Verdana" w:cs="Times New Roman"/>
          <w:sz w:val="20"/>
          <w:szCs w:val="20"/>
          <w:lang w:val="es-ES"/>
        </w:rPr>
      </w:pPr>
      <w:r>
        <w:rPr>
          <w:rFonts w:ascii="Verdana" w:eastAsiaTheme="minorEastAsia" w:hAnsi="Verdana" w:cs="Tahoma"/>
          <w:sz w:val="20"/>
          <w:szCs w:val="20"/>
          <w:lang w:val="es-CR"/>
        </w:rPr>
        <w:t>En</w:t>
      </w:r>
      <w:r w:rsidRPr="00D84A52">
        <w:rPr>
          <w:rFonts w:ascii="Verdana" w:eastAsiaTheme="minorEastAsia" w:hAnsi="Verdana" w:cs="Tahoma"/>
          <w:sz w:val="20"/>
          <w:szCs w:val="20"/>
          <w:lang w:val="es-CR"/>
        </w:rPr>
        <w:t xml:space="preserve"> </w:t>
      </w:r>
      <w:r>
        <w:rPr>
          <w:rFonts w:ascii="Verdana" w:eastAsiaTheme="minorEastAsia" w:hAnsi="Verdana" w:cs="Tahoma"/>
          <w:sz w:val="20"/>
          <w:szCs w:val="20"/>
          <w:lang w:val="es-CR"/>
        </w:rPr>
        <w:t xml:space="preserve">la Resolución </w:t>
      </w:r>
      <w:r w:rsidRPr="00D84A52">
        <w:rPr>
          <w:rFonts w:ascii="Verdana" w:eastAsiaTheme="minorEastAsia" w:hAnsi="Verdana" w:cs="Tahoma"/>
          <w:sz w:val="20"/>
          <w:szCs w:val="20"/>
          <w:lang w:val="es-CR"/>
        </w:rPr>
        <w:t>expresamente se afirma que</w:t>
      </w:r>
      <w:r w:rsidR="00D35A36">
        <w:rPr>
          <w:rFonts w:ascii="Verdana" w:eastAsiaTheme="minorEastAsia" w:hAnsi="Verdana" w:cs="Tahoma"/>
          <w:sz w:val="20"/>
          <w:szCs w:val="20"/>
          <w:lang w:val="es-CR"/>
        </w:rPr>
        <w:t xml:space="preserve"> </w:t>
      </w:r>
      <w:r w:rsidR="00D35A36" w:rsidRPr="00D35A36">
        <w:rPr>
          <w:rFonts w:ascii="Verdana" w:eastAsiaTheme="minorEastAsia" w:hAnsi="Verdana" w:cs="Tahoma"/>
          <w:i/>
          <w:sz w:val="20"/>
          <w:szCs w:val="20"/>
          <w:lang w:val="es-CR"/>
        </w:rPr>
        <w:t>“la Corte</w:t>
      </w:r>
      <w:r w:rsidR="00D35A36">
        <w:rPr>
          <w:rFonts w:ascii="Verdana" w:eastAsiaTheme="minorEastAsia" w:hAnsi="Verdana" w:cs="Tahoma"/>
          <w:sz w:val="20"/>
          <w:szCs w:val="20"/>
          <w:lang w:val="es-CR"/>
        </w:rPr>
        <w:t xml:space="preserve"> </w:t>
      </w:r>
      <w:r w:rsidRPr="00D84A52">
        <w:rPr>
          <w:rFonts w:ascii="Verdana" w:eastAsiaTheme="minorEastAsia" w:hAnsi="Verdana" w:cs="Tahoma"/>
          <w:i/>
          <w:sz w:val="20"/>
          <w:szCs w:val="20"/>
          <w:lang w:val="es-CR"/>
        </w:rPr>
        <w:t>s</w:t>
      </w:r>
      <w:proofErr w:type="spellStart"/>
      <w:r w:rsidRPr="005E4396">
        <w:rPr>
          <w:rFonts w:ascii="Verdana" w:hAnsi="Verdana" w:cs="Arial"/>
          <w:i/>
          <w:sz w:val="20"/>
          <w:szCs w:val="20"/>
          <w:lang w:val="es-MX"/>
        </w:rPr>
        <w:t>e</w:t>
      </w:r>
      <w:proofErr w:type="spellEnd"/>
      <w:r w:rsidRPr="005E4396">
        <w:rPr>
          <w:rFonts w:ascii="Verdana" w:hAnsi="Verdana" w:cs="Arial"/>
          <w:i/>
          <w:sz w:val="20"/>
          <w:szCs w:val="20"/>
          <w:lang w:val="es-MX"/>
        </w:rPr>
        <w:t xml:space="preserve"> pronunciará sobre la solicitud de medidas provisionales presentada el 24 de mayo de 2019 por los representantes de las víctimas “a favor de las víctimas del caso”, para que la Corte “ordene al Estado de El Salvador interrumpir el trámite legislativo de la iniciativa de Ley de Reconciliación Nacional en comento”</w:t>
      </w:r>
      <w:r w:rsidRPr="00D84A52">
        <w:rPr>
          <w:rFonts w:ascii="Verdana" w:hAnsi="Verdana" w:cs="Arial"/>
          <w:i/>
          <w:sz w:val="20"/>
          <w:szCs w:val="20"/>
          <w:lang w:val="es-MX"/>
        </w:rPr>
        <w:t xml:space="preserve"> </w:t>
      </w:r>
      <w:r w:rsidRPr="00D35A36">
        <w:rPr>
          <w:rFonts w:ascii="Verdana" w:hAnsi="Verdana" w:cs="Arial"/>
          <w:sz w:val="20"/>
          <w:szCs w:val="20"/>
          <w:lang w:val="es-MX"/>
        </w:rPr>
        <w:t>y que</w:t>
      </w:r>
      <w:r w:rsidRPr="005E4396">
        <w:rPr>
          <w:rFonts w:ascii="Verdana" w:hAnsi="Verdana" w:cs="Arial"/>
          <w:i/>
          <w:sz w:val="20"/>
          <w:szCs w:val="20"/>
          <w:lang w:val="es-MX"/>
        </w:rPr>
        <w:t xml:space="preserve"> </w:t>
      </w:r>
      <w:r w:rsidRPr="00D84A52">
        <w:rPr>
          <w:rFonts w:ascii="Verdana" w:hAnsi="Verdana" w:cs="Arial"/>
          <w:i/>
          <w:sz w:val="20"/>
          <w:szCs w:val="20"/>
          <w:lang w:val="es-MX"/>
        </w:rPr>
        <w:t>“</w:t>
      </w:r>
      <w:r w:rsidRPr="005E4396">
        <w:rPr>
          <w:rFonts w:ascii="Verdana" w:hAnsi="Verdana" w:cs="Arial"/>
          <w:i/>
          <w:sz w:val="20"/>
          <w:szCs w:val="20"/>
          <w:lang w:val="es-MX"/>
        </w:rPr>
        <w:t xml:space="preserve">el Presidente del Tribunal emitió una Resolución el 28 </w:t>
      </w:r>
      <w:r w:rsidRPr="00D84A52">
        <w:rPr>
          <w:rFonts w:ascii="Verdana" w:hAnsi="Verdana" w:cs="Arial"/>
          <w:i/>
          <w:sz w:val="20"/>
          <w:szCs w:val="20"/>
          <w:lang w:val="es-MX"/>
        </w:rPr>
        <w:t>de ese mismo mes</w:t>
      </w:r>
      <w:r w:rsidRPr="005E4396">
        <w:rPr>
          <w:rFonts w:ascii="Verdana" w:hAnsi="Verdana" w:cs="Arial"/>
          <w:i/>
          <w:sz w:val="20"/>
          <w:szCs w:val="20"/>
          <w:lang w:val="es-MX"/>
        </w:rPr>
        <w:t xml:space="preserve">, en la cual </w:t>
      </w:r>
      <w:r w:rsidRPr="005E4396">
        <w:rPr>
          <w:rFonts w:ascii="Verdana" w:hAnsi="Verdana"/>
          <w:i/>
          <w:sz w:val="20"/>
          <w:szCs w:val="20"/>
          <w:lang w:val="es-CR"/>
        </w:rPr>
        <w:t xml:space="preserve">adoptó medidas urgentes “hasta que el Pleno de la Corte Interamericana </w:t>
      </w:r>
      <w:proofErr w:type="spellStart"/>
      <w:r w:rsidR="003A22A2" w:rsidRPr="005E4396">
        <w:rPr>
          <w:rFonts w:ascii="Verdana" w:hAnsi="Verdana"/>
          <w:i/>
          <w:sz w:val="20"/>
          <w:szCs w:val="20"/>
          <w:lang w:val="es-CR"/>
        </w:rPr>
        <w:t>conoc</w:t>
      </w:r>
      <w:proofErr w:type="spellEnd"/>
      <w:r w:rsidRPr="005E4396">
        <w:rPr>
          <w:rFonts w:ascii="Verdana" w:hAnsi="Verdana"/>
          <w:i/>
          <w:sz w:val="20"/>
          <w:szCs w:val="20"/>
          <w:lang w:val="es-CR"/>
        </w:rPr>
        <w:t>[</w:t>
      </w:r>
      <w:proofErr w:type="spellStart"/>
      <w:r w:rsidR="00DC34B6">
        <w:rPr>
          <w:rFonts w:ascii="Verdana" w:hAnsi="Verdana"/>
          <w:i/>
          <w:sz w:val="20"/>
          <w:szCs w:val="20"/>
          <w:lang w:val="es-CR"/>
        </w:rPr>
        <w:t>i</w:t>
      </w:r>
      <w:r w:rsidR="003A22A2" w:rsidRPr="005E4396">
        <w:rPr>
          <w:rFonts w:ascii="Verdana" w:hAnsi="Verdana"/>
          <w:i/>
          <w:sz w:val="20"/>
          <w:szCs w:val="20"/>
          <w:lang w:val="es-CR"/>
        </w:rPr>
        <w:t>era</w:t>
      </w:r>
      <w:proofErr w:type="spellEnd"/>
      <w:r w:rsidRPr="005E4396">
        <w:rPr>
          <w:rFonts w:ascii="Verdana" w:hAnsi="Verdana"/>
          <w:i/>
          <w:sz w:val="20"/>
          <w:szCs w:val="20"/>
          <w:lang w:val="es-CR"/>
        </w:rPr>
        <w:t>] y se</w:t>
      </w:r>
      <w:r w:rsidRPr="003A22A2">
        <w:rPr>
          <w:rFonts w:ascii="Verdana" w:hAnsi="Verdana"/>
          <w:i/>
          <w:sz w:val="20"/>
          <w:szCs w:val="20"/>
        </w:rPr>
        <w:t xml:space="preserve"> </w:t>
      </w:r>
      <w:proofErr w:type="spellStart"/>
      <w:r w:rsidRPr="003A22A2">
        <w:rPr>
          <w:rFonts w:ascii="Verdana" w:hAnsi="Verdana"/>
          <w:i/>
          <w:sz w:val="20"/>
          <w:szCs w:val="20"/>
        </w:rPr>
        <w:t>pronunci</w:t>
      </w:r>
      <w:proofErr w:type="spellEnd"/>
      <w:r w:rsidRPr="005E4396">
        <w:rPr>
          <w:rFonts w:ascii="Verdana" w:hAnsi="Verdana"/>
          <w:i/>
          <w:sz w:val="20"/>
          <w:szCs w:val="20"/>
          <w:lang w:val="es-CR"/>
        </w:rPr>
        <w:t xml:space="preserve">[ara] sobre esta solicitud de medidas </w:t>
      </w:r>
      <w:r w:rsidRPr="005E4396">
        <w:rPr>
          <w:rFonts w:ascii="Verdana" w:hAnsi="Verdana"/>
          <w:i/>
          <w:sz w:val="20"/>
          <w:szCs w:val="20"/>
          <w:lang w:val="es-CR"/>
        </w:rPr>
        <w:lastRenderedPageBreak/>
        <w:t>provisionales” y requirió información adicional al Estado a fin de que el Pleno contara con mayores elementos</w:t>
      </w:r>
      <w:r w:rsidRPr="00D84A52">
        <w:rPr>
          <w:rFonts w:ascii="Verdana" w:hAnsi="Verdana"/>
          <w:i/>
          <w:sz w:val="20"/>
          <w:szCs w:val="20"/>
          <w:lang w:val="es-CR"/>
        </w:rPr>
        <w:t xml:space="preserve"> para pronunciarse al respecto.”</w:t>
      </w:r>
      <w:r w:rsidRPr="00D84A52">
        <w:rPr>
          <w:rStyle w:val="Refdenotaalpie"/>
          <w:rFonts w:ascii="Verdana" w:hAnsi="Verdana"/>
          <w:i/>
          <w:sz w:val="20"/>
          <w:szCs w:val="20"/>
          <w:lang w:val="es-CR"/>
        </w:rPr>
        <w:footnoteReference w:id="2"/>
      </w:r>
    </w:p>
    <w:p w14:paraId="190A8EAA" w14:textId="35136EF8" w:rsidR="00D4486E" w:rsidRPr="00E20FC7" w:rsidRDefault="00981A0B" w:rsidP="00D4486E">
      <w:pPr>
        <w:spacing w:after="100" w:afterAutospacing="1"/>
        <w:ind w:left="0"/>
        <w:rPr>
          <w:rFonts w:ascii="Verdana" w:hAnsi="Verdana" w:cs="Verdana"/>
          <w:sz w:val="20"/>
          <w:szCs w:val="20"/>
        </w:rPr>
      </w:pPr>
      <w:r>
        <w:rPr>
          <w:rFonts w:ascii="Verdana" w:hAnsi="Verdana" w:cs="Verdana"/>
          <w:color w:val="000000"/>
          <w:sz w:val="20"/>
          <w:szCs w:val="20"/>
        </w:rPr>
        <w:t xml:space="preserve">En consecuencia, </w:t>
      </w:r>
      <w:r w:rsidRPr="00D84A52">
        <w:rPr>
          <w:rFonts w:ascii="Verdana" w:hAnsi="Verdana" w:cs="Verdana"/>
          <w:color w:val="000000"/>
          <w:sz w:val="20"/>
          <w:szCs w:val="20"/>
        </w:rPr>
        <w:t>la Resolución</w:t>
      </w:r>
      <w:r w:rsidR="00D35A36">
        <w:rPr>
          <w:rFonts w:ascii="Verdana" w:hAnsi="Verdana" w:cs="Verdana"/>
          <w:color w:val="000000"/>
          <w:sz w:val="20"/>
          <w:szCs w:val="20"/>
        </w:rPr>
        <w:t xml:space="preserve"> versa</w:t>
      </w:r>
      <w:r>
        <w:rPr>
          <w:rFonts w:ascii="Verdana" w:hAnsi="Verdana" w:cs="Verdana"/>
          <w:color w:val="000000"/>
          <w:sz w:val="20"/>
          <w:szCs w:val="20"/>
        </w:rPr>
        <w:t xml:space="preserve"> </w:t>
      </w:r>
      <w:r w:rsidR="00B827EA">
        <w:rPr>
          <w:rFonts w:ascii="Verdana" w:hAnsi="Verdana" w:cs="Verdana"/>
          <w:color w:val="000000"/>
          <w:sz w:val="20"/>
          <w:szCs w:val="20"/>
        </w:rPr>
        <w:t>sobre la p</w:t>
      </w:r>
      <w:r w:rsidR="00D35A36">
        <w:rPr>
          <w:rFonts w:ascii="Verdana" w:hAnsi="Verdana" w:cs="Verdana"/>
          <w:color w:val="000000"/>
          <w:sz w:val="20"/>
          <w:szCs w:val="20"/>
        </w:rPr>
        <w:t>etición</w:t>
      </w:r>
      <w:r w:rsidR="006702D9">
        <w:rPr>
          <w:rFonts w:ascii="Verdana" w:hAnsi="Verdana" w:cs="Verdana"/>
          <w:color w:val="000000"/>
          <w:sz w:val="20"/>
          <w:szCs w:val="20"/>
        </w:rPr>
        <w:t xml:space="preserve"> de medidas provisionales</w:t>
      </w:r>
      <w:r w:rsidR="00B322ED">
        <w:rPr>
          <w:rFonts w:ascii="Verdana" w:hAnsi="Verdana" w:cs="Verdana"/>
          <w:color w:val="000000"/>
          <w:sz w:val="20"/>
          <w:szCs w:val="20"/>
        </w:rPr>
        <w:t xml:space="preserve"> elevada el 24 de mayo de 2019</w:t>
      </w:r>
      <w:r w:rsidR="00B827EA">
        <w:rPr>
          <w:rStyle w:val="Refdenotaalpie"/>
          <w:rFonts w:ascii="Verdana" w:hAnsi="Verdana" w:cs="Verdana"/>
          <w:color w:val="000000"/>
          <w:sz w:val="20"/>
          <w:szCs w:val="20"/>
        </w:rPr>
        <w:footnoteReference w:id="3"/>
      </w:r>
      <w:r w:rsidR="00D4486E">
        <w:rPr>
          <w:rFonts w:ascii="Verdana" w:hAnsi="Verdana" w:cs="Verdana"/>
          <w:sz w:val="20"/>
          <w:szCs w:val="20"/>
        </w:rPr>
        <w:t>, pero</w:t>
      </w:r>
      <w:r w:rsidR="007150E6">
        <w:rPr>
          <w:rFonts w:ascii="Verdana" w:hAnsi="Verdana" w:cs="Verdana"/>
          <w:sz w:val="20"/>
          <w:szCs w:val="20"/>
        </w:rPr>
        <w:t xml:space="preserve"> lo hace señalando como sustento</w:t>
      </w:r>
      <w:r w:rsidR="007150E6" w:rsidRPr="007150E6">
        <w:rPr>
          <w:rFonts w:ascii="Verdana" w:hAnsi="Verdana" w:cs="Verdana"/>
          <w:i/>
          <w:sz w:val="20"/>
          <w:szCs w:val="20"/>
        </w:rPr>
        <w:t xml:space="preserve"> </w:t>
      </w:r>
      <w:r w:rsidR="007150E6">
        <w:rPr>
          <w:rFonts w:ascii="Verdana" w:hAnsi="Verdana" w:cs="Verdana"/>
          <w:i/>
          <w:sz w:val="20"/>
          <w:szCs w:val="20"/>
        </w:rPr>
        <w:t>“</w:t>
      </w:r>
      <w:r w:rsidR="007150E6" w:rsidRPr="00D84A52">
        <w:rPr>
          <w:rFonts w:ascii="Verdana" w:hAnsi="Verdana" w:cs="Verdana"/>
          <w:i/>
          <w:sz w:val="20"/>
          <w:szCs w:val="20"/>
          <w:lang w:val="es-CR"/>
        </w:rPr>
        <w:t>la información aportada con posterioridad a la Resolución de medidas urgentes del Presidente de 28 de mayo de 2019</w:t>
      </w:r>
      <w:r w:rsidR="007150E6">
        <w:rPr>
          <w:rFonts w:ascii="Verdana" w:hAnsi="Verdana" w:cs="Verdana"/>
          <w:i/>
          <w:sz w:val="20"/>
          <w:szCs w:val="20"/>
        </w:rPr>
        <w:t>”.</w:t>
      </w:r>
      <w:r w:rsidR="006702D9">
        <w:rPr>
          <w:rFonts w:ascii="Verdana" w:hAnsi="Verdana" w:cs="Verdana"/>
          <w:i/>
          <w:sz w:val="20"/>
          <w:szCs w:val="20"/>
        </w:rPr>
        <w:t xml:space="preserve"> </w:t>
      </w:r>
      <w:r w:rsidR="006702D9">
        <w:rPr>
          <w:rFonts w:ascii="Verdana" w:hAnsi="Verdana" w:cs="Verdana"/>
          <w:sz w:val="20"/>
          <w:szCs w:val="20"/>
        </w:rPr>
        <w:t xml:space="preserve">Cabe tener presente que </w:t>
      </w:r>
      <w:r w:rsidR="00482AA0">
        <w:rPr>
          <w:rFonts w:ascii="Verdana" w:hAnsi="Verdana" w:cs="Verdana"/>
          <w:sz w:val="20"/>
          <w:szCs w:val="20"/>
        </w:rPr>
        <w:t>es tal vez por ello que aquella  no se pronuncia expresamente sobre ésta</w:t>
      </w:r>
      <w:r w:rsidR="002E1045">
        <w:rPr>
          <w:rFonts w:ascii="Verdana" w:hAnsi="Verdana" w:cs="Verdana"/>
          <w:sz w:val="20"/>
          <w:szCs w:val="20"/>
        </w:rPr>
        <w:t xml:space="preserve">, aunque su </w:t>
      </w:r>
      <w:r w:rsidR="00DC34B6">
        <w:rPr>
          <w:rFonts w:ascii="Verdana" w:hAnsi="Verdana" w:cs="Verdana"/>
          <w:sz w:val="20"/>
          <w:szCs w:val="20"/>
        </w:rPr>
        <w:t>mantenimiento</w:t>
      </w:r>
      <w:r w:rsidR="00F407B7">
        <w:rPr>
          <w:rFonts w:ascii="Verdana" w:hAnsi="Verdana" w:cs="Verdana"/>
          <w:sz w:val="20"/>
          <w:szCs w:val="20"/>
        </w:rPr>
        <w:t xml:space="preserve"> </w:t>
      </w:r>
      <w:r w:rsidR="002E1045">
        <w:rPr>
          <w:rFonts w:ascii="Verdana" w:hAnsi="Verdana" w:cs="Verdana"/>
          <w:sz w:val="20"/>
          <w:szCs w:val="20"/>
        </w:rPr>
        <w:t>fue requerido por los peticionarios</w:t>
      </w:r>
      <w:r w:rsidR="002E1045">
        <w:rPr>
          <w:rStyle w:val="Refdenotaalpie"/>
          <w:rFonts w:ascii="Verdana" w:hAnsi="Verdana" w:cs="Verdana"/>
          <w:sz w:val="20"/>
          <w:szCs w:val="20"/>
        </w:rPr>
        <w:footnoteReference w:id="4"/>
      </w:r>
      <w:r w:rsidR="00482AA0">
        <w:rPr>
          <w:rFonts w:ascii="Verdana" w:hAnsi="Verdana" w:cs="Verdana"/>
          <w:sz w:val="20"/>
          <w:szCs w:val="20"/>
        </w:rPr>
        <w:t>.</w:t>
      </w:r>
      <w:r w:rsidR="00B322ED">
        <w:rPr>
          <w:rFonts w:ascii="Verdana" w:hAnsi="Verdana" w:cs="Verdana"/>
          <w:sz w:val="20"/>
          <w:szCs w:val="20"/>
          <w:lang w:val="es-CR"/>
        </w:rPr>
        <w:t xml:space="preserve"> </w:t>
      </w:r>
    </w:p>
    <w:p w14:paraId="450FD13F" w14:textId="77777777" w:rsidR="00D4486E" w:rsidRDefault="00D4486E" w:rsidP="00F66A1E">
      <w:pPr>
        <w:pStyle w:val="Default"/>
        <w:numPr>
          <w:ilvl w:val="0"/>
          <w:numId w:val="11"/>
        </w:numPr>
        <w:spacing w:after="100" w:afterAutospacing="1" w:line="276" w:lineRule="auto"/>
        <w:ind w:left="360"/>
        <w:jc w:val="both"/>
        <w:rPr>
          <w:rFonts w:ascii="Verdana" w:hAnsi="Verdana" w:cs="Verdana"/>
          <w:color w:val="auto"/>
          <w:sz w:val="20"/>
          <w:szCs w:val="20"/>
        </w:rPr>
      </w:pPr>
      <w:r w:rsidRPr="00D4486E">
        <w:rPr>
          <w:rFonts w:ascii="Verdana" w:hAnsi="Verdana" w:cs="Verdana"/>
          <w:b/>
          <w:color w:val="auto"/>
          <w:sz w:val="20"/>
          <w:szCs w:val="20"/>
        </w:rPr>
        <w:t>Continuidad de la situación</w:t>
      </w:r>
      <w:r>
        <w:rPr>
          <w:rFonts w:ascii="Verdana" w:hAnsi="Verdana" w:cs="Verdana"/>
          <w:color w:val="auto"/>
          <w:sz w:val="20"/>
          <w:szCs w:val="20"/>
        </w:rPr>
        <w:t>.</w:t>
      </w:r>
    </w:p>
    <w:p w14:paraId="0ADB2E4A" w14:textId="77777777" w:rsidR="00B718D9" w:rsidRDefault="00D4486E" w:rsidP="00B718D9">
      <w:pPr>
        <w:spacing w:after="100" w:afterAutospacing="1"/>
        <w:ind w:left="0"/>
        <w:rPr>
          <w:rFonts w:ascii="Verdana" w:hAnsi="Verdana" w:cs="Verdana"/>
          <w:sz w:val="20"/>
          <w:szCs w:val="20"/>
        </w:rPr>
      </w:pPr>
      <w:r>
        <w:rPr>
          <w:rFonts w:ascii="Verdana" w:hAnsi="Verdana" w:cs="Verdana"/>
          <w:sz w:val="20"/>
          <w:szCs w:val="20"/>
        </w:rPr>
        <w:t>Ahora bien,</w:t>
      </w:r>
      <w:r w:rsidR="007150E6">
        <w:rPr>
          <w:rFonts w:ascii="Verdana" w:hAnsi="Verdana" w:cs="Verdana"/>
          <w:sz w:val="20"/>
          <w:szCs w:val="20"/>
        </w:rPr>
        <w:t xml:space="preserve"> </w:t>
      </w:r>
      <w:r w:rsidR="00D74A21">
        <w:rPr>
          <w:rFonts w:ascii="Verdana" w:hAnsi="Verdana" w:cs="Verdana"/>
          <w:sz w:val="20"/>
          <w:szCs w:val="20"/>
        </w:rPr>
        <w:t>según la Resolución, de la recién aludida información</w:t>
      </w:r>
      <w:r w:rsidR="00D74A21">
        <w:rPr>
          <w:rFonts w:ascii="Verdana" w:hAnsi="Verdana" w:cs="Verdana"/>
          <w:sz w:val="20"/>
          <w:szCs w:val="20"/>
          <w:lang w:val="es-CR"/>
        </w:rPr>
        <w:t xml:space="preserve"> </w:t>
      </w:r>
      <w:r w:rsidR="00B718D9">
        <w:rPr>
          <w:rFonts w:ascii="Verdana" w:hAnsi="Verdana" w:cs="Verdana"/>
          <w:sz w:val="20"/>
          <w:szCs w:val="20"/>
          <w:lang w:val="es-CR"/>
        </w:rPr>
        <w:t>se desprendería “</w:t>
      </w:r>
      <w:r w:rsidR="00B718D9" w:rsidRPr="00D84A52">
        <w:rPr>
          <w:rFonts w:ascii="Verdana" w:eastAsia="Calibri" w:hAnsi="Verdana" w:cs="Times New Roman"/>
          <w:i/>
          <w:sz w:val="20"/>
          <w:szCs w:val="20"/>
          <w:lang w:val="es-ES"/>
        </w:rPr>
        <w:t>que no se dan</w:t>
      </w:r>
      <w:r w:rsidR="00B718D9" w:rsidRPr="00D84A52">
        <w:rPr>
          <w:rFonts w:ascii="Verdana" w:hAnsi="Verdana" w:cs="Verdana"/>
          <w:i/>
          <w:sz w:val="20"/>
          <w:szCs w:val="20"/>
        </w:rPr>
        <w:t xml:space="preserve"> los presupuestos que existieron al momento en que el Presidente ordenó medidas urgentes</w:t>
      </w:r>
      <w:r w:rsidR="00B718D9">
        <w:rPr>
          <w:rFonts w:ascii="Verdana" w:hAnsi="Verdana" w:cs="Verdana"/>
          <w:i/>
          <w:sz w:val="20"/>
          <w:szCs w:val="20"/>
        </w:rPr>
        <w:t>”</w:t>
      </w:r>
      <w:r w:rsidR="00B718D9">
        <w:rPr>
          <w:rStyle w:val="Refdenotaalpie"/>
          <w:rFonts w:ascii="Verdana" w:hAnsi="Verdana" w:cs="Verdana"/>
          <w:i/>
          <w:sz w:val="20"/>
          <w:szCs w:val="20"/>
        </w:rPr>
        <w:footnoteReference w:id="5"/>
      </w:r>
      <w:r w:rsidR="00B718D9">
        <w:rPr>
          <w:rFonts w:ascii="Verdana" w:hAnsi="Verdana" w:cs="Verdana"/>
          <w:sz w:val="20"/>
          <w:szCs w:val="20"/>
        </w:rPr>
        <w:t>.</w:t>
      </w:r>
    </w:p>
    <w:p w14:paraId="158B7C8A" w14:textId="77777777" w:rsidR="00D4486E" w:rsidRPr="00B718D9" w:rsidRDefault="00B718D9" w:rsidP="00B718D9">
      <w:pPr>
        <w:spacing w:after="100" w:afterAutospacing="1"/>
        <w:ind w:left="0"/>
        <w:rPr>
          <w:rFonts w:ascii="Verdana" w:eastAsia="Calibri" w:hAnsi="Verdana" w:cs="Times New Roman"/>
          <w:sz w:val="20"/>
          <w:szCs w:val="20"/>
          <w:lang w:val="es-ES"/>
        </w:rPr>
      </w:pPr>
      <w:r>
        <w:rPr>
          <w:rFonts w:ascii="Verdana" w:hAnsi="Verdana" w:cs="Verdana"/>
          <w:sz w:val="20"/>
          <w:szCs w:val="20"/>
        </w:rPr>
        <w:t>Emp</w:t>
      </w:r>
      <w:r w:rsidR="00D74A21">
        <w:rPr>
          <w:rFonts w:ascii="Verdana" w:hAnsi="Verdana" w:cs="Verdana"/>
          <w:sz w:val="20"/>
          <w:szCs w:val="20"/>
        </w:rPr>
        <w:t xml:space="preserve">ero, esa información </w:t>
      </w:r>
      <w:r w:rsidR="007150E6">
        <w:rPr>
          <w:rFonts w:ascii="Verdana" w:hAnsi="Verdana" w:cs="Verdana"/>
          <w:sz w:val="20"/>
          <w:szCs w:val="20"/>
        </w:rPr>
        <w:t xml:space="preserve">dice relación con hechos que no alteran lo existente al momento de la dictación de la </w:t>
      </w:r>
      <w:r w:rsidR="007150E6" w:rsidRPr="00BB31D3">
        <w:rPr>
          <w:rFonts w:ascii="Verdana" w:hAnsi="Verdana" w:cs="Verdana"/>
          <w:i/>
          <w:sz w:val="20"/>
          <w:szCs w:val="20"/>
        </w:rPr>
        <w:t>Resolución</w:t>
      </w:r>
      <w:r w:rsidR="00844C7D" w:rsidRPr="00BB31D3">
        <w:rPr>
          <w:rFonts w:ascii="Verdana" w:hAnsi="Verdana" w:cs="Verdana"/>
          <w:i/>
          <w:sz w:val="20"/>
          <w:szCs w:val="20"/>
        </w:rPr>
        <w:t xml:space="preserve"> del Presidente de la Corte Interamericana de Derechos Humanos de 28 de mayo de 2019, Medidas Urgentes y Supervisión de Cumplimiento de Sentencia, Caso Masacres de El Mozote</w:t>
      </w:r>
      <w:r w:rsidR="007150E6" w:rsidRPr="00BB31D3">
        <w:rPr>
          <w:rFonts w:ascii="Verdana" w:hAnsi="Verdana" w:cs="Verdana"/>
          <w:i/>
          <w:sz w:val="20"/>
          <w:szCs w:val="20"/>
        </w:rPr>
        <w:t xml:space="preserve"> </w:t>
      </w:r>
      <w:r w:rsidR="00844C7D" w:rsidRPr="00BB31D3">
        <w:rPr>
          <w:rFonts w:ascii="Verdana" w:hAnsi="Verdana" w:cs="Verdana"/>
          <w:i/>
          <w:sz w:val="20"/>
          <w:szCs w:val="20"/>
        </w:rPr>
        <w:t>y Lugares Aledaños Vs. El Salvador, del 28 de mayo de 2019</w:t>
      </w:r>
      <w:r w:rsidR="00D74A21">
        <w:rPr>
          <w:rStyle w:val="Refdenotaalpie"/>
          <w:rFonts w:ascii="Verdana" w:hAnsi="Verdana" w:cs="Verdana"/>
          <w:sz w:val="20"/>
          <w:szCs w:val="20"/>
        </w:rPr>
        <w:footnoteReference w:id="6"/>
      </w:r>
      <w:r w:rsidR="00D74A21">
        <w:rPr>
          <w:rFonts w:ascii="Verdana" w:hAnsi="Verdana" w:cs="Verdana"/>
          <w:sz w:val="20"/>
          <w:szCs w:val="20"/>
        </w:rPr>
        <w:t>,</w:t>
      </w:r>
      <w:r w:rsidR="007150E6">
        <w:rPr>
          <w:rFonts w:ascii="Verdana" w:hAnsi="Verdana" w:cs="Verdana"/>
          <w:sz w:val="20"/>
          <w:szCs w:val="20"/>
        </w:rPr>
        <w:t xml:space="preserve"> sino que,</w:t>
      </w:r>
      <w:r w:rsidR="00CA22AD">
        <w:rPr>
          <w:rFonts w:ascii="Verdana" w:hAnsi="Verdana" w:cs="Verdana"/>
          <w:sz w:val="20"/>
          <w:szCs w:val="20"/>
        </w:rPr>
        <w:t xml:space="preserve"> muy por el contrario, reafirma</w:t>
      </w:r>
      <w:r w:rsidR="007150E6">
        <w:rPr>
          <w:rFonts w:ascii="Verdana" w:hAnsi="Verdana" w:cs="Verdana"/>
          <w:sz w:val="20"/>
          <w:szCs w:val="20"/>
        </w:rPr>
        <w:t xml:space="preserve"> su continuidad hasta hoy. </w:t>
      </w:r>
    </w:p>
    <w:p w14:paraId="233581B1" w14:textId="4594E09B" w:rsidR="003A22A2" w:rsidRDefault="00B718D9" w:rsidP="00B718D9">
      <w:pPr>
        <w:pStyle w:val="Default"/>
        <w:spacing w:after="100" w:afterAutospacing="1" w:line="276" w:lineRule="auto"/>
        <w:jc w:val="both"/>
        <w:rPr>
          <w:rFonts w:ascii="Verdana" w:hAnsi="Verdana" w:cs="Verdana"/>
          <w:i/>
          <w:color w:val="auto"/>
          <w:sz w:val="20"/>
          <w:szCs w:val="20"/>
        </w:rPr>
      </w:pPr>
      <w:r>
        <w:rPr>
          <w:rFonts w:ascii="Verdana" w:hAnsi="Verdana" w:cs="Verdana"/>
          <w:color w:val="auto"/>
          <w:sz w:val="20"/>
          <w:szCs w:val="20"/>
        </w:rPr>
        <w:t>En efecto,</w:t>
      </w:r>
      <w:r w:rsidR="002C6A2F">
        <w:rPr>
          <w:rFonts w:ascii="Verdana" w:hAnsi="Verdana" w:cs="Verdana"/>
          <w:color w:val="auto"/>
          <w:sz w:val="20"/>
          <w:szCs w:val="20"/>
        </w:rPr>
        <w:t xml:space="preserve"> </w:t>
      </w:r>
      <w:r w:rsidR="007150E6">
        <w:rPr>
          <w:rFonts w:ascii="Verdana" w:hAnsi="Verdana" w:cs="Verdana"/>
          <w:color w:val="auto"/>
          <w:sz w:val="20"/>
          <w:szCs w:val="20"/>
        </w:rPr>
        <w:t xml:space="preserve">una </w:t>
      </w:r>
      <w:r w:rsidR="00D4486E">
        <w:rPr>
          <w:rFonts w:ascii="Verdana" w:hAnsi="Verdana" w:cs="Verdana"/>
          <w:color w:val="auto"/>
          <w:sz w:val="20"/>
          <w:szCs w:val="20"/>
        </w:rPr>
        <w:t xml:space="preserve">de esas informaciones </w:t>
      </w:r>
      <w:r w:rsidR="007150E6">
        <w:rPr>
          <w:rFonts w:ascii="Verdana" w:hAnsi="Verdana" w:cs="Verdana"/>
          <w:color w:val="auto"/>
          <w:sz w:val="20"/>
          <w:szCs w:val="20"/>
        </w:rPr>
        <w:t>se refiere a la ampliación del plazo para la eventual aprobación del proyecto de ley en cuestión</w:t>
      </w:r>
      <w:r w:rsidR="006C2DEA">
        <w:rPr>
          <w:rFonts w:ascii="Verdana" w:hAnsi="Verdana" w:cs="Verdana"/>
          <w:color w:val="auto"/>
          <w:sz w:val="20"/>
          <w:szCs w:val="20"/>
        </w:rPr>
        <w:t>. La segunda</w:t>
      </w:r>
      <w:r w:rsidR="007150E6">
        <w:rPr>
          <w:rFonts w:ascii="Verdana" w:hAnsi="Verdana" w:cs="Verdana"/>
          <w:color w:val="auto"/>
          <w:sz w:val="20"/>
          <w:szCs w:val="20"/>
        </w:rPr>
        <w:t xml:space="preserve"> alude a que no solo se encuentra en proceso legislativ</w:t>
      </w:r>
      <w:r w:rsidR="00DB4E2C">
        <w:rPr>
          <w:rFonts w:ascii="Verdana" w:hAnsi="Verdana" w:cs="Verdana"/>
          <w:color w:val="auto"/>
          <w:sz w:val="20"/>
          <w:szCs w:val="20"/>
        </w:rPr>
        <w:t>o</w:t>
      </w:r>
      <w:r w:rsidR="007150E6">
        <w:rPr>
          <w:rFonts w:ascii="Verdana" w:hAnsi="Verdana" w:cs="Verdana"/>
          <w:color w:val="auto"/>
          <w:sz w:val="20"/>
          <w:szCs w:val="20"/>
        </w:rPr>
        <w:t xml:space="preserve"> dicho proyecto, sino también otro. La tercera invoca afirmaciones generales, lógicas y esperables del Presidente de la República</w:t>
      </w:r>
      <w:r w:rsidR="007150E6" w:rsidRPr="006E73C2">
        <w:rPr>
          <w:rFonts w:ascii="Verdana" w:hAnsi="Verdana" w:cs="Verdana"/>
          <w:i/>
          <w:color w:val="auto"/>
          <w:sz w:val="20"/>
          <w:szCs w:val="20"/>
        </w:rPr>
        <w:t xml:space="preserve"> </w:t>
      </w:r>
      <w:r w:rsidR="007150E6">
        <w:rPr>
          <w:rFonts w:ascii="Verdana" w:hAnsi="Verdana" w:cs="Verdana"/>
          <w:color w:val="auto"/>
          <w:sz w:val="20"/>
          <w:szCs w:val="20"/>
        </w:rPr>
        <w:t>en orden a que, ante cualquier proyecto de ley sobre la materia que se le presente, tendrá en cuenta principalmente los intereses de las víctimas de violaciones de derechos humanos</w:t>
      </w:r>
      <w:r w:rsidR="006C2DEA">
        <w:rPr>
          <w:rFonts w:ascii="Verdana" w:hAnsi="Verdana" w:cs="Verdana"/>
          <w:color w:val="auto"/>
          <w:sz w:val="20"/>
          <w:szCs w:val="20"/>
        </w:rPr>
        <w:t>.</w:t>
      </w:r>
      <w:r w:rsidR="007150E6" w:rsidRPr="006E73C2">
        <w:rPr>
          <w:rFonts w:ascii="Verdana" w:hAnsi="Verdana" w:cs="Verdana"/>
          <w:color w:val="auto"/>
          <w:sz w:val="20"/>
          <w:szCs w:val="20"/>
        </w:rPr>
        <w:t xml:space="preserve"> </w:t>
      </w:r>
      <w:r w:rsidR="007150E6">
        <w:rPr>
          <w:rFonts w:ascii="Verdana" w:hAnsi="Verdana" w:cs="Verdana"/>
          <w:color w:val="auto"/>
          <w:sz w:val="20"/>
          <w:szCs w:val="20"/>
        </w:rPr>
        <w:t xml:space="preserve">Y la </w:t>
      </w:r>
      <w:r w:rsidR="00B322ED">
        <w:rPr>
          <w:rFonts w:ascii="Verdana" w:hAnsi="Verdana" w:cs="Verdana"/>
          <w:color w:val="auto"/>
          <w:sz w:val="20"/>
          <w:szCs w:val="20"/>
        </w:rPr>
        <w:t xml:space="preserve">última es atingente a </w:t>
      </w:r>
      <w:r w:rsidR="007150E6">
        <w:rPr>
          <w:rFonts w:ascii="Verdana" w:hAnsi="Verdana" w:cs="Verdana"/>
          <w:color w:val="auto"/>
          <w:sz w:val="20"/>
          <w:szCs w:val="20"/>
        </w:rPr>
        <w:t xml:space="preserve">las facultades de la Sala </w:t>
      </w:r>
      <w:r w:rsidR="00DB4E2C">
        <w:rPr>
          <w:rFonts w:ascii="Verdana" w:hAnsi="Verdana" w:cs="Verdana"/>
          <w:color w:val="auto"/>
          <w:sz w:val="20"/>
          <w:szCs w:val="20"/>
        </w:rPr>
        <w:t xml:space="preserve">de lo </w:t>
      </w:r>
      <w:r w:rsidR="007150E6">
        <w:rPr>
          <w:rFonts w:ascii="Verdana" w:hAnsi="Verdana" w:cs="Verdana"/>
          <w:color w:val="auto"/>
          <w:sz w:val="20"/>
          <w:szCs w:val="20"/>
        </w:rPr>
        <w:t xml:space="preserve">Constitucional de la Corte Suprema de Justicia de El Salvador, </w:t>
      </w:r>
      <w:r w:rsidR="007150E6" w:rsidRPr="00B718D9">
        <w:rPr>
          <w:rFonts w:ascii="Verdana" w:hAnsi="Verdana" w:cs="Verdana"/>
          <w:color w:val="auto"/>
          <w:sz w:val="20"/>
          <w:szCs w:val="20"/>
        </w:rPr>
        <w:t>de</w:t>
      </w:r>
      <w:r w:rsidR="007150E6">
        <w:rPr>
          <w:rFonts w:ascii="Verdana" w:hAnsi="Verdana" w:cs="Verdana"/>
          <w:color w:val="0070C0"/>
          <w:sz w:val="20"/>
          <w:szCs w:val="20"/>
        </w:rPr>
        <w:t xml:space="preserve"> </w:t>
      </w:r>
      <w:r w:rsidR="007150E6" w:rsidRPr="00F407B7">
        <w:rPr>
          <w:rFonts w:ascii="Verdana" w:hAnsi="Verdana" w:cs="Verdana"/>
          <w:color w:val="auto"/>
          <w:sz w:val="20"/>
          <w:szCs w:val="20"/>
        </w:rPr>
        <w:t>“</w:t>
      </w:r>
      <w:r w:rsidR="007150E6" w:rsidRPr="00EC13CC">
        <w:rPr>
          <w:rFonts w:ascii="Verdana" w:hAnsi="Verdana" w:cs="Verdana"/>
          <w:i/>
          <w:color w:val="auto"/>
          <w:sz w:val="20"/>
          <w:szCs w:val="20"/>
        </w:rPr>
        <w:t>eventualmente</w:t>
      </w:r>
      <w:r w:rsidR="007150E6" w:rsidRPr="006E73C2">
        <w:rPr>
          <w:rFonts w:ascii="Verdana" w:hAnsi="Verdana" w:cs="Verdana"/>
          <w:i/>
          <w:color w:val="auto"/>
          <w:sz w:val="20"/>
          <w:szCs w:val="20"/>
        </w:rPr>
        <w:t xml:space="preserve"> pronunciarse sobre la constitucionalidad de la normativa </w:t>
      </w:r>
      <w:r w:rsidR="007150E6">
        <w:rPr>
          <w:rFonts w:ascii="Verdana" w:hAnsi="Verdana" w:cs="Verdana"/>
          <w:i/>
          <w:color w:val="auto"/>
          <w:sz w:val="20"/>
          <w:szCs w:val="20"/>
        </w:rPr>
        <w:t>en caso</w:t>
      </w:r>
      <w:r w:rsidR="007150E6" w:rsidRPr="00EC13CC">
        <w:rPr>
          <w:rFonts w:ascii="Verdana" w:hAnsi="Verdana" w:cs="Verdana"/>
          <w:i/>
          <w:color w:val="auto"/>
          <w:sz w:val="20"/>
          <w:szCs w:val="20"/>
        </w:rPr>
        <w:t xml:space="preserve"> de veto del Presidente de la República y en caso de que se apruebe la ley”</w:t>
      </w:r>
      <w:r w:rsidR="00B347C9">
        <w:rPr>
          <w:rStyle w:val="Refdenotaalpie"/>
          <w:rFonts w:ascii="Verdana" w:hAnsi="Verdana" w:cs="Verdana"/>
          <w:i/>
          <w:color w:val="auto"/>
          <w:sz w:val="20"/>
          <w:szCs w:val="20"/>
        </w:rPr>
        <w:footnoteReference w:id="7"/>
      </w:r>
      <w:r w:rsidR="007150E6" w:rsidRPr="00EC13CC">
        <w:rPr>
          <w:rFonts w:ascii="Verdana" w:hAnsi="Verdana" w:cs="Verdana"/>
          <w:i/>
          <w:color w:val="auto"/>
          <w:sz w:val="20"/>
          <w:szCs w:val="20"/>
        </w:rPr>
        <w:t>.</w:t>
      </w:r>
    </w:p>
    <w:p w14:paraId="56BD28AF" w14:textId="60609E8B" w:rsidR="003A22A2" w:rsidRDefault="00D74A21" w:rsidP="00B718D9">
      <w:pPr>
        <w:pStyle w:val="Default"/>
        <w:spacing w:after="100" w:afterAutospacing="1" w:line="276" w:lineRule="auto"/>
        <w:jc w:val="both"/>
        <w:rPr>
          <w:rFonts w:ascii="Verdana" w:hAnsi="Verdana" w:cs="Verdana"/>
          <w:color w:val="auto"/>
          <w:sz w:val="20"/>
          <w:szCs w:val="20"/>
        </w:rPr>
      </w:pPr>
      <w:r>
        <w:rPr>
          <w:rFonts w:ascii="Verdana" w:hAnsi="Verdana" w:cs="Verdana"/>
          <w:color w:val="auto"/>
          <w:sz w:val="20"/>
          <w:szCs w:val="20"/>
        </w:rPr>
        <w:t>Por lo tanto, l</w:t>
      </w:r>
      <w:r w:rsidR="003A22A2">
        <w:rPr>
          <w:rFonts w:ascii="Verdana" w:hAnsi="Verdana" w:cs="Verdana"/>
          <w:color w:val="auto"/>
          <w:sz w:val="20"/>
          <w:szCs w:val="20"/>
        </w:rPr>
        <w:t xml:space="preserve">os antecedentes señalados como nuevos en la Resolución, </w:t>
      </w:r>
      <w:r w:rsidR="00F407B7">
        <w:rPr>
          <w:rFonts w:ascii="Verdana" w:hAnsi="Verdana" w:cs="Verdana"/>
          <w:color w:val="auto"/>
          <w:sz w:val="20"/>
          <w:szCs w:val="20"/>
        </w:rPr>
        <w:t xml:space="preserve">o </w:t>
      </w:r>
      <w:r w:rsidR="003A22A2">
        <w:rPr>
          <w:rFonts w:ascii="Verdana" w:hAnsi="Verdana" w:cs="Verdana"/>
          <w:color w:val="auto"/>
          <w:sz w:val="20"/>
          <w:szCs w:val="20"/>
        </w:rPr>
        <w:t>ya existían al momento de la Resolución del 28 de mayo de 2019, incluso eran de público y notorio conocimiento</w:t>
      </w:r>
      <w:r w:rsidR="00F407B7">
        <w:rPr>
          <w:rFonts w:ascii="Verdana" w:hAnsi="Verdana" w:cs="Verdana"/>
          <w:color w:val="auto"/>
          <w:sz w:val="20"/>
          <w:szCs w:val="20"/>
        </w:rPr>
        <w:t>, o eran de suponer, como ocurre respecto de las declaraciones del Presidente de la República</w:t>
      </w:r>
      <w:r w:rsidR="003A22A2">
        <w:rPr>
          <w:rFonts w:ascii="Verdana" w:hAnsi="Verdana" w:cs="Verdana"/>
          <w:color w:val="auto"/>
          <w:sz w:val="20"/>
          <w:szCs w:val="20"/>
        </w:rPr>
        <w:t>.</w:t>
      </w:r>
    </w:p>
    <w:p w14:paraId="31CEA30F" w14:textId="77777777" w:rsidR="00B718D9" w:rsidRPr="003A22A2" w:rsidRDefault="007150E6" w:rsidP="00B718D9">
      <w:pPr>
        <w:pStyle w:val="Default"/>
        <w:spacing w:after="100" w:afterAutospacing="1" w:line="276" w:lineRule="auto"/>
        <w:jc w:val="both"/>
        <w:rPr>
          <w:rFonts w:ascii="Verdana" w:hAnsi="Verdana" w:cs="Verdana"/>
          <w:i/>
          <w:color w:val="auto"/>
          <w:sz w:val="20"/>
          <w:szCs w:val="20"/>
        </w:rPr>
      </w:pPr>
      <w:r>
        <w:rPr>
          <w:rFonts w:ascii="Verdana" w:hAnsi="Verdana" w:cs="Verdana"/>
          <w:color w:val="auto"/>
          <w:sz w:val="20"/>
          <w:szCs w:val="20"/>
        </w:rPr>
        <w:lastRenderedPageBreak/>
        <w:t xml:space="preserve">De suerte, entonces, el </w:t>
      </w:r>
      <w:r w:rsidRPr="00963B19">
        <w:rPr>
          <w:rFonts w:ascii="Verdana" w:hAnsi="Verdana" w:cs="Verdana"/>
          <w:color w:val="auto"/>
          <w:sz w:val="20"/>
          <w:szCs w:val="20"/>
        </w:rPr>
        <w:t>fundamento invocado pa</w:t>
      </w:r>
      <w:r>
        <w:rPr>
          <w:rFonts w:ascii="Verdana" w:hAnsi="Verdana" w:cs="Verdana"/>
          <w:color w:val="auto"/>
          <w:sz w:val="20"/>
          <w:szCs w:val="20"/>
        </w:rPr>
        <w:t xml:space="preserve">ra dictar la Resolución </w:t>
      </w:r>
      <w:r>
        <w:rPr>
          <w:rFonts w:ascii="Verdana" w:hAnsi="Verdana" w:cs="Verdana"/>
          <w:sz w:val="20"/>
          <w:szCs w:val="20"/>
        </w:rPr>
        <w:t>resulta inadecuado para lo que se resuelve o</w:t>
      </w:r>
      <w:r w:rsidR="00B718D9">
        <w:rPr>
          <w:rFonts w:ascii="Verdana" w:hAnsi="Verdana" w:cs="Verdana"/>
          <w:sz w:val="20"/>
          <w:szCs w:val="20"/>
        </w:rPr>
        <w:t>, en todo caso, no lo justifica.</w:t>
      </w:r>
    </w:p>
    <w:p w14:paraId="5F5235FD" w14:textId="77777777" w:rsidR="00B718D9" w:rsidRDefault="001908D2" w:rsidP="001908D2">
      <w:pPr>
        <w:pStyle w:val="Default"/>
        <w:numPr>
          <w:ilvl w:val="0"/>
          <w:numId w:val="10"/>
        </w:numPr>
        <w:spacing w:after="100" w:afterAutospacing="1" w:line="276" w:lineRule="auto"/>
        <w:jc w:val="both"/>
        <w:rPr>
          <w:rFonts w:ascii="Verdana" w:hAnsi="Verdana" w:cs="Verdana"/>
          <w:b/>
          <w:sz w:val="20"/>
          <w:szCs w:val="20"/>
        </w:rPr>
      </w:pPr>
      <w:r>
        <w:rPr>
          <w:rFonts w:ascii="Verdana" w:hAnsi="Verdana" w:cs="Verdana"/>
          <w:b/>
          <w:sz w:val="20"/>
          <w:szCs w:val="20"/>
        </w:rPr>
        <w:t>LA FUNDAMENTACIÓN QUE LA RESOLUCIÓN NO CONSIDERÓ</w:t>
      </w:r>
      <w:r w:rsidR="00B718D9" w:rsidRPr="00B718D9">
        <w:rPr>
          <w:rFonts w:ascii="Verdana" w:hAnsi="Verdana" w:cs="Verdana"/>
          <w:b/>
          <w:sz w:val="20"/>
          <w:szCs w:val="20"/>
        </w:rPr>
        <w:t>.</w:t>
      </w:r>
    </w:p>
    <w:p w14:paraId="6FEE05F2" w14:textId="77777777" w:rsidR="00B718D9" w:rsidRDefault="00B718D9" w:rsidP="00B718D9">
      <w:pPr>
        <w:pStyle w:val="Default"/>
        <w:spacing w:after="100" w:afterAutospacing="1" w:line="276" w:lineRule="auto"/>
        <w:jc w:val="both"/>
        <w:rPr>
          <w:rFonts w:ascii="Verdana" w:hAnsi="Verdana" w:cs="Verdana"/>
          <w:sz w:val="20"/>
          <w:szCs w:val="20"/>
        </w:rPr>
      </w:pPr>
      <w:r>
        <w:rPr>
          <w:rFonts w:ascii="Verdana" w:hAnsi="Verdana" w:cs="Verdana"/>
          <w:sz w:val="20"/>
          <w:szCs w:val="20"/>
        </w:rPr>
        <w:t>Teniendo presente lo sostenido precedentemente, la fundamentación de la Resolución debía haber sido la concerniente a las consideraciones que siguen.</w:t>
      </w:r>
    </w:p>
    <w:p w14:paraId="1967095B" w14:textId="77777777" w:rsidR="00B718D9" w:rsidRDefault="00B718D9" w:rsidP="00B718D9">
      <w:pPr>
        <w:pStyle w:val="Default"/>
        <w:numPr>
          <w:ilvl w:val="0"/>
          <w:numId w:val="12"/>
        </w:numPr>
        <w:spacing w:after="100" w:afterAutospacing="1" w:line="276" w:lineRule="auto"/>
        <w:ind w:left="360"/>
        <w:jc w:val="both"/>
        <w:rPr>
          <w:rFonts w:ascii="Verdana" w:hAnsi="Verdana" w:cs="Verdana"/>
          <w:sz w:val="20"/>
          <w:szCs w:val="20"/>
        </w:rPr>
      </w:pPr>
      <w:r w:rsidRPr="00B718D9">
        <w:rPr>
          <w:rFonts w:ascii="Verdana" w:hAnsi="Verdana" w:cs="Verdana"/>
          <w:b/>
          <w:sz w:val="20"/>
          <w:szCs w:val="20"/>
        </w:rPr>
        <w:t>La facultad de dictar medidas provisionales</w:t>
      </w:r>
      <w:r>
        <w:rPr>
          <w:rFonts w:ascii="Verdana" w:hAnsi="Verdana" w:cs="Verdana"/>
          <w:sz w:val="20"/>
          <w:szCs w:val="20"/>
        </w:rPr>
        <w:t>.</w:t>
      </w:r>
    </w:p>
    <w:p w14:paraId="20DEA607" w14:textId="77777777" w:rsidR="00C1764C" w:rsidRPr="00B718D9" w:rsidRDefault="00C1764C" w:rsidP="00B718D9">
      <w:pPr>
        <w:pStyle w:val="Default"/>
        <w:spacing w:after="100" w:afterAutospacing="1" w:line="276" w:lineRule="auto"/>
        <w:jc w:val="both"/>
        <w:rPr>
          <w:rFonts w:ascii="Verdana" w:hAnsi="Verdana" w:cs="Verdana"/>
          <w:sz w:val="20"/>
          <w:szCs w:val="20"/>
        </w:rPr>
      </w:pPr>
      <w:r w:rsidRPr="00B718D9">
        <w:rPr>
          <w:rFonts w:ascii="Verdana" w:hAnsi="Verdana"/>
          <w:sz w:val="20"/>
          <w:szCs w:val="20"/>
        </w:rPr>
        <w:t>La prime</w:t>
      </w:r>
      <w:r w:rsidR="00B718D9">
        <w:rPr>
          <w:rFonts w:ascii="Verdana" w:hAnsi="Verdana"/>
          <w:sz w:val="20"/>
          <w:szCs w:val="20"/>
        </w:rPr>
        <w:t>ra razón que debería haberse invocado en</w:t>
      </w:r>
      <w:r w:rsidRPr="00B718D9">
        <w:rPr>
          <w:rFonts w:ascii="Verdana" w:hAnsi="Verdana"/>
          <w:sz w:val="20"/>
          <w:szCs w:val="20"/>
        </w:rPr>
        <w:t xml:space="preserve"> la Resolución</w:t>
      </w:r>
      <w:r w:rsidR="00B718D9">
        <w:rPr>
          <w:rFonts w:ascii="Verdana" w:hAnsi="Verdana"/>
          <w:sz w:val="20"/>
          <w:szCs w:val="20"/>
        </w:rPr>
        <w:t xml:space="preserve"> para no conceder las medidas provisionales requeridas</w:t>
      </w:r>
      <w:r w:rsidRPr="00B718D9">
        <w:rPr>
          <w:rFonts w:ascii="Verdana" w:hAnsi="Verdana"/>
          <w:sz w:val="20"/>
          <w:szCs w:val="20"/>
        </w:rPr>
        <w:t>, es que la Cort</w:t>
      </w:r>
      <w:r w:rsidR="00BA0BE5" w:rsidRPr="00B718D9">
        <w:rPr>
          <w:rFonts w:ascii="Verdana" w:hAnsi="Verdana"/>
          <w:sz w:val="20"/>
          <w:szCs w:val="20"/>
        </w:rPr>
        <w:t>e carece de la facultad de ordenar</w:t>
      </w:r>
      <w:r w:rsidR="00153F7B" w:rsidRPr="00B718D9">
        <w:rPr>
          <w:rFonts w:ascii="Verdana" w:hAnsi="Verdana"/>
          <w:sz w:val="20"/>
          <w:szCs w:val="20"/>
        </w:rPr>
        <w:t xml:space="preserve"> medidas provision</w:t>
      </w:r>
      <w:r w:rsidR="00EB1CC5" w:rsidRPr="00B718D9">
        <w:rPr>
          <w:rFonts w:ascii="Verdana" w:hAnsi="Verdana"/>
          <w:sz w:val="20"/>
          <w:szCs w:val="20"/>
        </w:rPr>
        <w:t>ales una vez que se ha dictado se</w:t>
      </w:r>
      <w:r w:rsidR="00153F7B" w:rsidRPr="00B718D9">
        <w:rPr>
          <w:rFonts w:ascii="Verdana" w:hAnsi="Verdana"/>
          <w:sz w:val="20"/>
          <w:szCs w:val="20"/>
        </w:rPr>
        <w:t>ntencia en el caso correspondiente</w:t>
      </w:r>
      <w:r w:rsidRPr="00B718D9">
        <w:rPr>
          <w:rFonts w:ascii="Verdana" w:hAnsi="Verdana"/>
          <w:sz w:val="20"/>
          <w:szCs w:val="20"/>
        </w:rPr>
        <w:t>, pu</w:t>
      </w:r>
      <w:r w:rsidR="00153F7B" w:rsidRPr="00B718D9">
        <w:rPr>
          <w:rFonts w:ascii="Verdana" w:hAnsi="Verdana"/>
          <w:sz w:val="20"/>
          <w:szCs w:val="20"/>
        </w:rPr>
        <w:t xml:space="preserve">esto que </w:t>
      </w:r>
      <w:r w:rsidR="00BA0BE5" w:rsidRPr="00B718D9">
        <w:rPr>
          <w:rFonts w:ascii="Verdana" w:hAnsi="Verdana"/>
          <w:sz w:val="20"/>
          <w:szCs w:val="20"/>
        </w:rPr>
        <w:t xml:space="preserve">ya </w:t>
      </w:r>
      <w:r w:rsidR="006F2306" w:rsidRPr="00B718D9">
        <w:rPr>
          <w:rFonts w:ascii="Verdana" w:hAnsi="Verdana"/>
          <w:sz w:val="20"/>
          <w:szCs w:val="20"/>
        </w:rPr>
        <w:t xml:space="preserve">lo </w:t>
      </w:r>
      <w:r w:rsidRPr="00B718D9">
        <w:rPr>
          <w:rFonts w:ascii="Verdana" w:hAnsi="Verdana"/>
          <w:sz w:val="20"/>
          <w:szCs w:val="20"/>
        </w:rPr>
        <w:t>juzgó</w:t>
      </w:r>
      <w:r w:rsidR="00BA0BE5" w:rsidRPr="00B718D9">
        <w:rPr>
          <w:rFonts w:ascii="Verdana" w:hAnsi="Verdana"/>
          <w:sz w:val="20"/>
          <w:szCs w:val="20"/>
        </w:rPr>
        <w:t xml:space="preserve"> </w:t>
      </w:r>
      <w:r w:rsidRPr="00B718D9">
        <w:rPr>
          <w:rFonts w:ascii="Verdana" w:hAnsi="Verdana"/>
          <w:sz w:val="20"/>
          <w:szCs w:val="20"/>
        </w:rPr>
        <w:t>y</w:t>
      </w:r>
      <w:r w:rsidR="00B718D9">
        <w:rPr>
          <w:rFonts w:ascii="Verdana" w:hAnsi="Verdana"/>
          <w:sz w:val="20"/>
          <w:szCs w:val="20"/>
        </w:rPr>
        <w:t>,</w:t>
      </w:r>
      <w:r w:rsidRPr="00B718D9">
        <w:rPr>
          <w:rFonts w:ascii="Verdana" w:hAnsi="Verdana"/>
          <w:sz w:val="20"/>
          <w:szCs w:val="20"/>
        </w:rPr>
        <w:t xml:space="preserve"> por ende, no lo está conociendo</w:t>
      </w:r>
      <w:r w:rsidRPr="00D84A52">
        <w:rPr>
          <w:rStyle w:val="Refdenotaalpie"/>
          <w:rFonts w:ascii="Verdana" w:hAnsi="Verdana"/>
          <w:sz w:val="20"/>
          <w:szCs w:val="20"/>
        </w:rPr>
        <w:footnoteReference w:id="8"/>
      </w:r>
      <w:r w:rsidRPr="00B718D9">
        <w:rPr>
          <w:rFonts w:ascii="Verdana" w:hAnsi="Verdana"/>
          <w:sz w:val="20"/>
          <w:szCs w:val="20"/>
        </w:rPr>
        <w:t>.</w:t>
      </w:r>
      <w:r w:rsidR="00CE795A" w:rsidRPr="00B718D9">
        <w:rPr>
          <w:rFonts w:ascii="Verdana" w:hAnsi="Verdana"/>
          <w:sz w:val="20"/>
          <w:szCs w:val="20"/>
        </w:rPr>
        <w:t xml:space="preserve"> </w:t>
      </w:r>
      <w:r w:rsidRPr="00B718D9">
        <w:rPr>
          <w:rFonts w:ascii="Verdana" w:hAnsi="Verdana"/>
          <w:sz w:val="20"/>
          <w:szCs w:val="20"/>
        </w:rPr>
        <w:t xml:space="preserve"> </w:t>
      </w:r>
    </w:p>
    <w:p w14:paraId="18941657" w14:textId="77777777" w:rsidR="00EB1CC5" w:rsidRPr="00D84A52" w:rsidRDefault="00B718D9" w:rsidP="00D4486E">
      <w:pPr>
        <w:spacing w:after="100" w:afterAutospacing="1"/>
        <w:ind w:left="0"/>
        <w:rPr>
          <w:rFonts w:ascii="Verdana" w:eastAsiaTheme="minorEastAsia" w:hAnsi="Verdana"/>
          <w:b/>
          <w:sz w:val="20"/>
          <w:szCs w:val="20"/>
          <w:lang w:val="es-CR"/>
        </w:rPr>
      </w:pPr>
      <w:r>
        <w:rPr>
          <w:rFonts w:ascii="Verdana" w:eastAsiaTheme="minorEastAsia" w:hAnsi="Verdana"/>
          <w:sz w:val="20"/>
          <w:szCs w:val="20"/>
          <w:lang w:val="es-ES"/>
        </w:rPr>
        <w:t xml:space="preserve">Dada la importancia de este motivo, se estima necesario reiterar </w:t>
      </w:r>
      <w:r w:rsidR="00C1764C" w:rsidRPr="00D84A52">
        <w:rPr>
          <w:rFonts w:ascii="Verdana" w:eastAsiaTheme="minorEastAsia" w:hAnsi="Verdana"/>
          <w:sz w:val="20"/>
          <w:szCs w:val="20"/>
          <w:lang w:val="es-ES"/>
        </w:rPr>
        <w:t>lo ex</w:t>
      </w:r>
      <w:r w:rsidR="006C2DEA">
        <w:rPr>
          <w:rFonts w:ascii="Verdana" w:eastAsiaTheme="minorEastAsia" w:hAnsi="Verdana"/>
          <w:sz w:val="20"/>
          <w:szCs w:val="20"/>
          <w:lang w:val="es-ES"/>
        </w:rPr>
        <w:t>puesto por</w:t>
      </w:r>
      <w:r w:rsidR="00EB1CC5" w:rsidRPr="00D84A52">
        <w:rPr>
          <w:rFonts w:ascii="Verdana" w:eastAsiaTheme="minorEastAsia" w:hAnsi="Verdana"/>
          <w:sz w:val="20"/>
          <w:szCs w:val="20"/>
          <w:lang w:val="es-ES"/>
        </w:rPr>
        <w:t xml:space="preserve"> </w:t>
      </w:r>
      <w:r w:rsidR="00C1764C" w:rsidRPr="00D84A52">
        <w:rPr>
          <w:rFonts w:ascii="Verdana" w:eastAsiaTheme="minorEastAsia" w:hAnsi="Verdana"/>
          <w:sz w:val="20"/>
          <w:szCs w:val="20"/>
          <w:lang w:val="es-ES"/>
        </w:rPr>
        <w:t xml:space="preserve">el suscrito </w:t>
      </w:r>
      <w:r w:rsidR="00C76E06" w:rsidRPr="00D84A52">
        <w:rPr>
          <w:rFonts w:ascii="Verdana" w:eastAsiaTheme="minorEastAsia" w:hAnsi="Verdana"/>
          <w:sz w:val="20"/>
          <w:szCs w:val="20"/>
          <w:lang w:val="es-ES"/>
        </w:rPr>
        <w:t>en varios votos individuales</w:t>
      </w:r>
      <w:r w:rsidR="0029460A">
        <w:rPr>
          <w:rStyle w:val="Refdenotaalpie"/>
          <w:rFonts w:ascii="Verdana" w:eastAsiaTheme="minorEastAsia" w:hAnsi="Verdana"/>
          <w:sz w:val="20"/>
          <w:szCs w:val="20"/>
          <w:lang w:val="es-ES"/>
        </w:rPr>
        <w:footnoteReference w:id="9"/>
      </w:r>
      <w:r w:rsidR="00C76E06" w:rsidRPr="00D84A52">
        <w:rPr>
          <w:rFonts w:ascii="Verdana" w:eastAsiaTheme="minorEastAsia" w:hAnsi="Verdana"/>
          <w:sz w:val="20"/>
          <w:szCs w:val="20"/>
          <w:lang w:val="es-ES"/>
        </w:rPr>
        <w:t xml:space="preserve">, </w:t>
      </w:r>
      <w:r w:rsidR="00C1764C" w:rsidRPr="00D84A52">
        <w:rPr>
          <w:rFonts w:ascii="Verdana" w:eastAsiaTheme="minorEastAsia" w:hAnsi="Verdana"/>
          <w:sz w:val="20"/>
          <w:szCs w:val="20"/>
          <w:lang w:val="es-ES"/>
        </w:rPr>
        <w:t>en los siguientes términos:</w:t>
      </w:r>
    </w:p>
    <w:p w14:paraId="0429B923" w14:textId="77777777" w:rsidR="00B718D9" w:rsidRPr="00B718D9" w:rsidRDefault="00EB1CC5" w:rsidP="00B718D9">
      <w:pPr>
        <w:pStyle w:val="Prrafodelista"/>
        <w:numPr>
          <w:ilvl w:val="0"/>
          <w:numId w:val="13"/>
        </w:numPr>
        <w:spacing w:after="100" w:afterAutospacing="1"/>
        <w:rPr>
          <w:rFonts w:ascii="Verdana" w:eastAsiaTheme="minorEastAsia" w:hAnsi="Verdana"/>
          <w:b/>
          <w:sz w:val="20"/>
          <w:szCs w:val="20"/>
          <w:lang w:val="es-ES"/>
        </w:rPr>
      </w:pPr>
      <w:r w:rsidRPr="00B718D9">
        <w:rPr>
          <w:rFonts w:ascii="Verdana" w:eastAsiaTheme="minorEastAsia" w:hAnsi="Verdana"/>
          <w:b/>
          <w:sz w:val="20"/>
          <w:szCs w:val="20"/>
          <w:lang w:val="es-ES"/>
        </w:rPr>
        <w:t>Las normas.</w:t>
      </w:r>
    </w:p>
    <w:p w14:paraId="4FB029AA" w14:textId="77777777" w:rsidR="00EB1CC5" w:rsidRPr="00D84A52" w:rsidRDefault="00EB1CC5" w:rsidP="00D4486E">
      <w:pPr>
        <w:spacing w:after="100" w:afterAutospacing="1"/>
        <w:ind w:left="0"/>
        <w:rPr>
          <w:rFonts w:ascii="Verdana" w:eastAsiaTheme="minorEastAsia" w:hAnsi="Verdana"/>
          <w:sz w:val="20"/>
          <w:szCs w:val="20"/>
          <w:vertAlign w:val="superscript"/>
          <w:lang w:val="es-ES"/>
        </w:rPr>
      </w:pPr>
      <w:r w:rsidRPr="00D84A52">
        <w:rPr>
          <w:rFonts w:ascii="Verdana" w:eastAsiaTheme="minorEastAsia" w:hAnsi="Verdana"/>
          <w:sz w:val="20"/>
          <w:szCs w:val="20"/>
          <w:lang w:val="es-ES"/>
        </w:rPr>
        <w:t>La facultad de la Corte de dictar medidas provisionales está prevista en el artículo 63.2 de la Convención</w:t>
      </w:r>
      <w:r w:rsidR="00072095" w:rsidRPr="00D84A52">
        <w:rPr>
          <w:rFonts w:ascii="Verdana" w:eastAsiaTheme="minorEastAsia" w:hAnsi="Verdana"/>
          <w:sz w:val="20"/>
          <w:szCs w:val="20"/>
          <w:lang w:val="es-ES"/>
        </w:rPr>
        <w:t xml:space="preserve"> (Americana sobre Derechos Humanos</w:t>
      </w:r>
      <w:r w:rsidR="00072095" w:rsidRPr="00D84A52">
        <w:rPr>
          <w:rStyle w:val="Refdenotaalpie"/>
          <w:rFonts w:ascii="Verdana" w:eastAsiaTheme="minorEastAsia" w:hAnsi="Verdana"/>
          <w:sz w:val="20"/>
          <w:szCs w:val="20"/>
          <w:lang w:val="es-ES"/>
        </w:rPr>
        <w:footnoteReference w:id="10"/>
      </w:r>
      <w:r w:rsidR="00072095" w:rsidRPr="00D84A52">
        <w:rPr>
          <w:rFonts w:ascii="Verdana" w:eastAsiaTheme="minorEastAsia" w:hAnsi="Verdana"/>
          <w:sz w:val="20"/>
          <w:szCs w:val="20"/>
          <w:lang w:val="es-ES"/>
        </w:rPr>
        <w:t>)</w:t>
      </w:r>
      <w:r w:rsidRPr="00D84A52">
        <w:rPr>
          <w:rFonts w:ascii="Verdana" w:eastAsiaTheme="minorEastAsia" w:hAnsi="Verdana"/>
          <w:sz w:val="20"/>
          <w:szCs w:val="20"/>
          <w:lang w:val="es-ES"/>
        </w:rPr>
        <w:t>. Tal disposición distingue entre las medidas provisionales que la Corte puede decretar “</w:t>
      </w:r>
      <w:r w:rsidRPr="00D84A52">
        <w:rPr>
          <w:rFonts w:ascii="Verdana" w:eastAsiaTheme="minorEastAsia" w:hAnsi="Verdana"/>
          <w:i/>
          <w:sz w:val="20"/>
          <w:szCs w:val="20"/>
          <w:lang w:val="es-ES"/>
        </w:rPr>
        <w:t>en los asuntos que esté conociendo</w:t>
      </w:r>
      <w:r w:rsidRPr="00D84A52">
        <w:rPr>
          <w:rFonts w:ascii="Verdana" w:eastAsiaTheme="minorEastAsia" w:hAnsi="Verdana"/>
          <w:sz w:val="20"/>
          <w:szCs w:val="20"/>
          <w:lang w:val="es-ES"/>
        </w:rPr>
        <w:t>” y las que puede ordenar en los “</w:t>
      </w:r>
      <w:r w:rsidRPr="00D84A52">
        <w:rPr>
          <w:rFonts w:ascii="Verdana" w:eastAsiaTheme="minorEastAsia" w:hAnsi="Verdana"/>
          <w:i/>
          <w:sz w:val="20"/>
          <w:szCs w:val="20"/>
          <w:lang w:val="es-ES"/>
        </w:rPr>
        <w:t>asuntos que aún no estén sometidos a su conocimiento</w:t>
      </w:r>
      <w:r w:rsidRPr="00D84A52">
        <w:rPr>
          <w:rFonts w:ascii="Verdana" w:eastAsiaTheme="minorEastAsia" w:hAnsi="Verdana"/>
          <w:sz w:val="20"/>
          <w:szCs w:val="20"/>
          <w:lang w:val="es-ES"/>
        </w:rPr>
        <w:t>”</w:t>
      </w:r>
      <w:r w:rsidR="006C2DEA">
        <w:rPr>
          <w:rStyle w:val="Refdenotaalpie"/>
          <w:rFonts w:ascii="Verdana" w:eastAsiaTheme="minorEastAsia" w:hAnsi="Verdana"/>
          <w:sz w:val="20"/>
          <w:szCs w:val="20"/>
          <w:lang w:val="es-ES"/>
        </w:rPr>
        <w:footnoteReference w:id="11"/>
      </w:r>
      <w:r w:rsidR="00D84A52">
        <w:rPr>
          <w:rFonts w:ascii="Verdana" w:eastAsiaTheme="minorEastAsia" w:hAnsi="Verdana"/>
          <w:sz w:val="20"/>
          <w:szCs w:val="20"/>
          <w:lang w:val="es-ES"/>
        </w:rPr>
        <w:t>.</w:t>
      </w:r>
    </w:p>
    <w:p w14:paraId="343B3035" w14:textId="77777777" w:rsidR="00C5087A" w:rsidRPr="00D84A52" w:rsidRDefault="00EB1CC5" w:rsidP="00D4486E">
      <w:pPr>
        <w:spacing w:after="100" w:afterAutospacing="1"/>
        <w:ind w:left="0"/>
        <w:rPr>
          <w:rFonts w:ascii="Verdana" w:eastAsiaTheme="minorEastAsia" w:hAnsi="Verdana" w:cs="Tahoma"/>
          <w:sz w:val="20"/>
          <w:szCs w:val="20"/>
          <w:lang w:val="es-CR"/>
        </w:rPr>
      </w:pPr>
      <w:r w:rsidRPr="00D84A52">
        <w:rPr>
          <w:rFonts w:ascii="Verdana" w:eastAsiaTheme="minorEastAsia" w:hAnsi="Verdana" w:cs="Tahoma"/>
          <w:sz w:val="20"/>
          <w:szCs w:val="20"/>
          <w:lang w:val="es-ES"/>
        </w:rPr>
        <w:lastRenderedPageBreak/>
        <w:t>Respecto de los primeros,</w:t>
      </w:r>
      <w:r w:rsidRPr="00D84A52">
        <w:rPr>
          <w:rFonts w:ascii="Verdana" w:eastAsiaTheme="minorEastAsia" w:hAnsi="Verdana" w:cs="Tahoma"/>
          <w:sz w:val="20"/>
          <w:szCs w:val="20"/>
          <w:lang w:val="es-CR"/>
        </w:rPr>
        <w:t xml:space="preserve"> habría que llamar la atención, por de pronto, acerca de que la aludida </w:t>
      </w:r>
      <w:r w:rsidRPr="00D84A52">
        <w:rPr>
          <w:rFonts w:ascii="Verdana" w:eastAsiaTheme="minorEastAsia" w:hAnsi="Verdana"/>
          <w:sz w:val="20"/>
          <w:szCs w:val="20"/>
          <w:lang w:val="es-ES"/>
        </w:rPr>
        <w:t xml:space="preserve">disposición es precedida por </w:t>
      </w:r>
      <w:r w:rsidRPr="00D84A52">
        <w:rPr>
          <w:rFonts w:ascii="Verdana" w:eastAsiaTheme="minorEastAsia" w:hAnsi="Verdana" w:cs="Tahoma"/>
          <w:sz w:val="20"/>
          <w:szCs w:val="20"/>
          <w:lang w:val="es-CR"/>
        </w:rPr>
        <w:t>el artículo 62.3 de la Convención</w:t>
      </w:r>
      <w:r w:rsidR="00072095" w:rsidRPr="00D84A52">
        <w:rPr>
          <w:rStyle w:val="Refdenotaalpie"/>
          <w:rFonts w:ascii="Verdana" w:eastAsiaTheme="minorEastAsia" w:hAnsi="Verdana" w:cs="Tahoma"/>
          <w:sz w:val="20"/>
          <w:szCs w:val="20"/>
          <w:lang w:val="es-CR"/>
        </w:rPr>
        <w:footnoteReference w:id="12"/>
      </w:r>
      <w:r w:rsidR="00A50E0C">
        <w:rPr>
          <w:rFonts w:ascii="Verdana" w:eastAsiaTheme="minorEastAsia" w:hAnsi="Verdana" w:cs="Tahoma"/>
          <w:sz w:val="20"/>
          <w:szCs w:val="20"/>
          <w:lang w:val="es-CR"/>
        </w:rPr>
        <w:t xml:space="preserve"> </w:t>
      </w:r>
      <w:r w:rsidRPr="00D84A52">
        <w:rPr>
          <w:rFonts w:ascii="Verdana" w:eastAsiaTheme="minorEastAsia" w:hAnsi="Verdana" w:cs="Tahoma"/>
          <w:sz w:val="20"/>
          <w:szCs w:val="20"/>
          <w:lang w:val="es-CR"/>
        </w:rPr>
        <w:t>y especialmente del artículo 63.1 del mismo texto convencional</w:t>
      </w:r>
      <w:r w:rsidR="002B47FE" w:rsidRPr="00D84A52">
        <w:rPr>
          <w:rStyle w:val="Refdenotaalpie"/>
          <w:rFonts w:ascii="Verdana" w:eastAsiaTheme="minorEastAsia" w:hAnsi="Verdana" w:cs="Tahoma"/>
          <w:sz w:val="20"/>
          <w:szCs w:val="20"/>
          <w:lang w:val="es-CR"/>
        </w:rPr>
        <w:footnoteReference w:id="13"/>
      </w:r>
      <w:r w:rsidRPr="00D84A52">
        <w:rPr>
          <w:rFonts w:ascii="Verdana" w:eastAsiaTheme="minorEastAsia" w:hAnsi="Verdana" w:cs="Tahoma"/>
          <w:sz w:val="20"/>
          <w:szCs w:val="20"/>
          <w:lang w:val="es-CR"/>
        </w:rPr>
        <w:t xml:space="preserve">. </w:t>
      </w:r>
    </w:p>
    <w:p w14:paraId="5DB525BD" w14:textId="1D9D701B" w:rsidR="007D3566" w:rsidRPr="00D84A52" w:rsidRDefault="00EB1CC5" w:rsidP="00D4486E">
      <w:pPr>
        <w:spacing w:after="100" w:afterAutospacing="1"/>
        <w:ind w:left="0"/>
        <w:rPr>
          <w:rFonts w:ascii="Verdana" w:eastAsiaTheme="minorEastAsia" w:hAnsi="Verdana" w:cs="Tahoma"/>
          <w:sz w:val="20"/>
          <w:szCs w:val="20"/>
          <w:lang w:val="es-CR"/>
        </w:rPr>
      </w:pPr>
      <w:r w:rsidRPr="00D84A52">
        <w:rPr>
          <w:rFonts w:ascii="Verdana" w:eastAsiaTheme="minorEastAsia" w:hAnsi="Verdana" w:cs="Tahoma"/>
          <w:sz w:val="20"/>
          <w:szCs w:val="20"/>
          <w:lang w:val="es-CR"/>
        </w:rPr>
        <w:t xml:space="preserve">De la interpretación armónica de los citados artículos no se puede sino concluir que </w:t>
      </w:r>
      <w:r w:rsidRPr="00D84A52">
        <w:rPr>
          <w:rFonts w:ascii="Verdana" w:eastAsiaTheme="minorEastAsia" w:hAnsi="Verdana" w:cs="Arial"/>
          <w:sz w:val="20"/>
          <w:szCs w:val="20"/>
          <w:lang w:val="es-CR"/>
        </w:rPr>
        <w:t xml:space="preserve">la Corte dispone de la facultad de dictar </w:t>
      </w:r>
      <w:r w:rsidRPr="00D84A52">
        <w:rPr>
          <w:rFonts w:ascii="Verdana" w:eastAsiaTheme="minorEastAsia" w:hAnsi="Verdana" w:cs="Tahoma"/>
          <w:sz w:val="20"/>
          <w:szCs w:val="20"/>
          <w:lang w:val="es-CR"/>
        </w:rPr>
        <w:t>medidas provisionales mientras ejerce su competencia contenciosa en el cas</w:t>
      </w:r>
      <w:r w:rsidR="007D3566" w:rsidRPr="00D84A52">
        <w:rPr>
          <w:rFonts w:ascii="Verdana" w:eastAsiaTheme="minorEastAsia" w:hAnsi="Verdana" w:cs="Tahoma"/>
          <w:sz w:val="20"/>
          <w:szCs w:val="20"/>
          <w:lang w:val="es-CR"/>
        </w:rPr>
        <w:t>o que le fue sometido a su conocimiento</w:t>
      </w:r>
      <w:r w:rsidRPr="00D84A52">
        <w:rPr>
          <w:rFonts w:ascii="Verdana" w:eastAsiaTheme="minorEastAsia" w:hAnsi="Verdana" w:cs="Tahoma"/>
          <w:sz w:val="20"/>
          <w:szCs w:val="20"/>
          <w:lang w:val="es-CR"/>
        </w:rPr>
        <w:t>.</w:t>
      </w:r>
    </w:p>
    <w:p w14:paraId="09759E41" w14:textId="26E65D26" w:rsidR="00EB1CC5" w:rsidRPr="00D84A52" w:rsidRDefault="00EB1CC5" w:rsidP="00D4486E">
      <w:pPr>
        <w:spacing w:after="100" w:afterAutospacing="1"/>
        <w:ind w:left="0"/>
        <w:rPr>
          <w:rFonts w:ascii="Verdana" w:eastAsiaTheme="minorEastAsia" w:hAnsi="Verdana" w:cs="Arial"/>
          <w:sz w:val="20"/>
          <w:szCs w:val="20"/>
          <w:lang w:val="es-CR"/>
        </w:rPr>
      </w:pPr>
      <w:r w:rsidRPr="00D84A52">
        <w:rPr>
          <w:rFonts w:ascii="Verdana" w:eastAsiaTheme="minorEastAsia" w:hAnsi="Verdana"/>
          <w:sz w:val="20"/>
          <w:szCs w:val="20"/>
          <w:lang w:val="es-ES"/>
        </w:rPr>
        <w:t xml:space="preserve">Ahora bien, </w:t>
      </w:r>
      <w:r w:rsidRPr="00D84A52">
        <w:rPr>
          <w:rFonts w:ascii="Verdana" w:eastAsiaTheme="minorEastAsia" w:hAnsi="Verdana" w:cs="Arial"/>
          <w:sz w:val="20"/>
          <w:szCs w:val="20"/>
          <w:lang w:val="es-ES"/>
        </w:rPr>
        <w:t xml:space="preserve">el artículo 63.2 de la Convención prevé también el dictado de medidas provisionales en aquellos asuntos </w:t>
      </w:r>
      <w:r w:rsidR="00967635">
        <w:rPr>
          <w:rFonts w:ascii="Verdana" w:eastAsiaTheme="minorEastAsia" w:hAnsi="Verdana" w:cs="Arial"/>
          <w:sz w:val="20"/>
          <w:szCs w:val="20"/>
          <w:lang w:val="es-ES"/>
        </w:rPr>
        <w:t xml:space="preserve">que </w:t>
      </w:r>
      <w:r w:rsidR="00A50E0C">
        <w:rPr>
          <w:rFonts w:ascii="Verdana" w:eastAsiaTheme="minorEastAsia" w:hAnsi="Verdana" w:cs="Arial"/>
          <w:sz w:val="20"/>
          <w:szCs w:val="20"/>
          <w:lang w:val="es-CR"/>
        </w:rPr>
        <w:t>aún no estén sometidos a</w:t>
      </w:r>
      <w:r w:rsidRPr="00D84A52">
        <w:rPr>
          <w:rFonts w:ascii="Verdana" w:eastAsiaTheme="minorEastAsia" w:hAnsi="Verdana" w:cs="Arial"/>
          <w:sz w:val="20"/>
          <w:szCs w:val="20"/>
          <w:lang w:val="es-CR"/>
        </w:rPr>
        <w:t xml:space="preserve"> conocimiento</w:t>
      </w:r>
      <w:r w:rsidRPr="00D84A52">
        <w:rPr>
          <w:rFonts w:ascii="Verdana" w:eastAsiaTheme="minorEastAsia" w:hAnsi="Verdana" w:cs="Arial"/>
          <w:sz w:val="20"/>
          <w:szCs w:val="20"/>
          <w:lang w:val="es-ES"/>
        </w:rPr>
        <w:t xml:space="preserve"> </w:t>
      </w:r>
      <w:r w:rsidR="00A50E0C">
        <w:rPr>
          <w:rFonts w:ascii="Verdana" w:eastAsiaTheme="minorEastAsia" w:hAnsi="Verdana" w:cs="Arial"/>
          <w:sz w:val="20"/>
          <w:szCs w:val="20"/>
          <w:lang w:val="es-ES"/>
        </w:rPr>
        <w:t xml:space="preserve">de la Corte </w:t>
      </w:r>
      <w:r w:rsidRPr="00D84A52">
        <w:rPr>
          <w:rFonts w:ascii="Verdana" w:eastAsiaTheme="minorEastAsia" w:hAnsi="Verdana" w:cs="Arial"/>
          <w:sz w:val="20"/>
          <w:szCs w:val="20"/>
          <w:lang w:val="es-ES"/>
        </w:rPr>
        <w:t>y respecto de los cuales, por lo tanto, aún no ejerce su competencia contenciosa. En tal eventualidad, la Corte solo puede actuar, según lo prescribe la última frase de l</w:t>
      </w:r>
      <w:r w:rsidRPr="00D84A52">
        <w:rPr>
          <w:rFonts w:ascii="Verdana" w:eastAsiaTheme="minorEastAsia" w:hAnsi="Verdana" w:cs="Arial"/>
          <w:sz w:val="20"/>
          <w:szCs w:val="20"/>
          <w:lang w:val="es-CR"/>
        </w:rPr>
        <w:t xml:space="preserve">a </w:t>
      </w:r>
      <w:r w:rsidRPr="00D84A52">
        <w:rPr>
          <w:rFonts w:ascii="Verdana" w:eastAsiaTheme="minorEastAsia" w:hAnsi="Verdana" w:cs="Arial"/>
          <w:sz w:val="20"/>
          <w:szCs w:val="20"/>
          <w:lang w:val="es-ES"/>
        </w:rPr>
        <w:t xml:space="preserve">referida disposición, a </w:t>
      </w:r>
      <w:r w:rsidRPr="00D84A52">
        <w:rPr>
          <w:rFonts w:ascii="Verdana" w:eastAsiaTheme="minorEastAsia" w:hAnsi="Verdana" w:cs="Arial"/>
          <w:sz w:val="20"/>
          <w:szCs w:val="20"/>
          <w:lang w:val="es-CR"/>
        </w:rPr>
        <w:t>solicitud de la Comisión Interamericana de Derechos Humanos</w:t>
      </w:r>
      <w:r w:rsidR="00CE795A" w:rsidRPr="00D84A52">
        <w:rPr>
          <w:rStyle w:val="Refdenotaalpie"/>
          <w:rFonts w:ascii="Verdana" w:eastAsiaTheme="minorEastAsia" w:hAnsi="Verdana" w:cs="Arial"/>
          <w:sz w:val="20"/>
          <w:szCs w:val="20"/>
          <w:lang w:val="es-CR"/>
        </w:rPr>
        <w:footnoteReference w:id="14"/>
      </w:r>
      <w:r w:rsidR="00A50E0C">
        <w:rPr>
          <w:rFonts w:ascii="Verdana" w:eastAsiaTheme="minorEastAsia" w:hAnsi="Verdana" w:cs="Arial"/>
          <w:sz w:val="20"/>
          <w:szCs w:val="20"/>
          <w:lang w:val="es-CR"/>
        </w:rPr>
        <w:t>.</w:t>
      </w:r>
    </w:p>
    <w:p w14:paraId="0044C7E2" w14:textId="6E903878" w:rsidR="00EB1CC5" w:rsidRPr="00D84A52" w:rsidRDefault="00EB1CC5" w:rsidP="00D4486E">
      <w:pPr>
        <w:spacing w:after="100" w:afterAutospacing="1"/>
        <w:ind w:left="0"/>
        <w:rPr>
          <w:rFonts w:ascii="Verdana" w:eastAsiaTheme="minorEastAsia" w:hAnsi="Verdana" w:cs="Tahoma"/>
          <w:sz w:val="20"/>
          <w:szCs w:val="20"/>
          <w:lang w:val="es-ES"/>
        </w:rPr>
      </w:pPr>
      <w:r w:rsidRPr="00D84A52">
        <w:rPr>
          <w:rFonts w:ascii="Verdana" w:eastAsia="Times New Roman" w:hAnsi="Verdana"/>
          <w:sz w:val="20"/>
          <w:szCs w:val="20"/>
          <w:lang w:val="es-ES" w:eastAsia="es-CL"/>
        </w:rPr>
        <w:t xml:space="preserve">Todo lo indicado precedentemente obviamente también se expresa </w:t>
      </w:r>
      <w:r w:rsidRPr="00D84A52">
        <w:rPr>
          <w:rFonts w:ascii="Verdana" w:eastAsiaTheme="minorEastAsia" w:hAnsi="Verdana"/>
          <w:sz w:val="20"/>
          <w:szCs w:val="20"/>
          <w:lang w:val="es-ES"/>
        </w:rPr>
        <w:t>en el Reglamento de la Corte. Y así, entonces, reproduce en términos similares a los utilizados por el artículo 63.2 de la Convención</w:t>
      </w:r>
      <w:r w:rsidR="005C0054">
        <w:rPr>
          <w:rStyle w:val="Refdenotaalpie"/>
          <w:rFonts w:ascii="Verdana" w:eastAsiaTheme="minorEastAsia" w:hAnsi="Verdana"/>
          <w:sz w:val="20"/>
          <w:szCs w:val="20"/>
          <w:lang w:val="es-ES"/>
        </w:rPr>
        <w:footnoteReference w:id="15"/>
      </w:r>
      <w:r w:rsidRPr="00D84A52">
        <w:rPr>
          <w:rFonts w:ascii="Verdana" w:eastAsiaTheme="minorEastAsia" w:hAnsi="Verdana"/>
          <w:sz w:val="20"/>
          <w:szCs w:val="20"/>
          <w:lang w:val="es-ES"/>
        </w:rPr>
        <w:t>, la distinción entre asuntos sometidos a conocimiento de la Corte y asuntos aún no sometidos a su conocimiento. Es por ese motivo que la referencia que el numeral 1 del artículo 27 del Reglamento de la Corte hace a “</w:t>
      </w:r>
      <w:r w:rsidRPr="00D84A52">
        <w:rPr>
          <w:rFonts w:ascii="Verdana" w:eastAsiaTheme="minorEastAsia" w:hAnsi="Verdana"/>
          <w:i/>
          <w:sz w:val="20"/>
          <w:szCs w:val="20"/>
          <w:lang w:val="es-ES"/>
        </w:rPr>
        <w:t>cualquier estado del procedimiento</w:t>
      </w:r>
      <w:r w:rsidRPr="00D84A52">
        <w:rPr>
          <w:rFonts w:ascii="Verdana" w:eastAsiaTheme="minorEastAsia" w:hAnsi="Verdana"/>
          <w:sz w:val="20"/>
          <w:szCs w:val="20"/>
          <w:lang w:val="es-ES"/>
        </w:rPr>
        <w:t>”, únicamente puede entenderse en el sentido de que este último se lleva a cabo respecto de asuntos</w:t>
      </w:r>
      <w:r w:rsidRPr="00D84A52">
        <w:rPr>
          <w:rFonts w:ascii="Verdana" w:eastAsiaTheme="minorEastAsia" w:hAnsi="Verdana" w:cs="Tahoma"/>
          <w:sz w:val="20"/>
          <w:szCs w:val="20"/>
          <w:lang w:val="es-CR"/>
        </w:rPr>
        <w:t xml:space="preserve"> en </w:t>
      </w:r>
      <w:r w:rsidR="00A50E0C">
        <w:rPr>
          <w:rFonts w:ascii="Verdana" w:eastAsiaTheme="minorEastAsia" w:hAnsi="Verdana" w:cs="Tahoma"/>
          <w:sz w:val="20"/>
          <w:szCs w:val="20"/>
          <w:lang w:val="es-ES"/>
        </w:rPr>
        <w:t>que la Corte esté ejerciendo su competencia contenciosa pues en cuanto a los asuntos no sometidos a su pronunciamiento, no hay aún procedimiento alguno, el que, recién podría iniciarse con la pertinente solicitud de la Comisión</w:t>
      </w:r>
      <w:r w:rsidR="00967635">
        <w:rPr>
          <w:rFonts w:ascii="Verdana" w:eastAsiaTheme="minorEastAsia" w:hAnsi="Verdana" w:cs="Tahoma"/>
          <w:sz w:val="20"/>
          <w:szCs w:val="20"/>
          <w:lang w:val="es-ES"/>
        </w:rPr>
        <w:t>.</w:t>
      </w:r>
    </w:p>
    <w:p w14:paraId="69B4D947" w14:textId="77777777" w:rsidR="00297A89" w:rsidRPr="00D84A52" w:rsidRDefault="00C1764C" w:rsidP="00D4486E">
      <w:pPr>
        <w:spacing w:after="100" w:afterAutospacing="1"/>
        <w:ind w:left="0"/>
        <w:rPr>
          <w:rFonts w:ascii="Verdana" w:eastAsiaTheme="minorEastAsia" w:hAnsi="Verdana"/>
          <w:sz w:val="20"/>
          <w:szCs w:val="20"/>
          <w:lang w:val="es-ES"/>
        </w:rPr>
      </w:pPr>
      <w:r w:rsidRPr="00D84A52">
        <w:rPr>
          <w:rFonts w:ascii="Verdana" w:eastAsiaTheme="minorEastAsia" w:hAnsi="Verdana"/>
          <w:sz w:val="20"/>
          <w:szCs w:val="20"/>
          <w:lang w:val="es-ES"/>
        </w:rPr>
        <w:t xml:space="preserve">Determinado, entonces, que </w:t>
      </w:r>
      <w:r w:rsidRPr="00D84A52">
        <w:rPr>
          <w:rFonts w:ascii="Verdana" w:eastAsiaTheme="minorEastAsia" w:hAnsi="Verdana"/>
          <w:sz w:val="20"/>
          <w:szCs w:val="20"/>
          <w:lang w:val="es-CR"/>
        </w:rPr>
        <w:t>la Corte puede decretar de oficio medidas provisionales mientras esté ejerciendo su competencia contenciosa en relación al respectivo caso que le ha sido sometido, procede recordar que éste finaliza, según lo dispuesto en la primera frase del artículo 67 de la Convención</w:t>
      </w:r>
      <w:r w:rsidR="00BD5162">
        <w:rPr>
          <w:rStyle w:val="Refdenotaalpie"/>
          <w:rFonts w:ascii="Verdana" w:eastAsiaTheme="minorEastAsia" w:hAnsi="Verdana"/>
          <w:sz w:val="20"/>
          <w:szCs w:val="20"/>
          <w:lang w:val="es-CR"/>
        </w:rPr>
        <w:footnoteReference w:id="16"/>
      </w:r>
      <w:r w:rsidRPr="00D84A52">
        <w:rPr>
          <w:rFonts w:ascii="Verdana" w:eastAsiaTheme="minorEastAsia" w:hAnsi="Verdana"/>
          <w:sz w:val="20"/>
          <w:szCs w:val="20"/>
          <w:lang w:val="es-CR"/>
        </w:rPr>
        <w:t>, con la sentencia correspondiente, la que, por lo tanto, genera el efecto de cosa juzg</w:t>
      </w:r>
      <w:r w:rsidR="00A50E0C">
        <w:rPr>
          <w:rFonts w:ascii="Verdana" w:eastAsiaTheme="minorEastAsia" w:hAnsi="Verdana"/>
          <w:sz w:val="20"/>
          <w:szCs w:val="20"/>
          <w:lang w:val="es-CR"/>
        </w:rPr>
        <w:t xml:space="preserve">ada, no pudiendo </w:t>
      </w:r>
      <w:r w:rsidRPr="00D84A52">
        <w:rPr>
          <w:rFonts w:ascii="Verdana" w:eastAsiaTheme="minorEastAsia" w:hAnsi="Verdana"/>
          <w:sz w:val="20"/>
          <w:szCs w:val="20"/>
          <w:lang w:val="es-ES"/>
        </w:rPr>
        <w:t>ser modificada ni aún por la propia Corte.</w:t>
      </w:r>
    </w:p>
    <w:p w14:paraId="5A007121" w14:textId="77777777" w:rsidR="00297A89" w:rsidRPr="00D84A52" w:rsidRDefault="00C1764C" w:rsidP="00D4486E">
      <w:pPr>
        <w:spacing w:after="100" w:afterAutospacing="1"/>
        <w:ind w:left="0"/>
        <w:rPr>
          <w:rFonts w:ascii="Verdana" w:eastAsiaTheme="minorEastAsia" w:hAnsi="Verdana"/>
          <w:sz w:val="20"/>
          <w:szCs w:val="20"/>
          <w:lang w:val="es-ES"/>
        </w:rPr>
      </w:pPr>
      <w:r w:rsidRPr="00D84A52">
        <w:rPr>
          <w:rFonts w:ascii="Verdana" w:eastAsiaTheme="minorEastAsia" w:hAnsi="Verdana"/>
          <w:sz w:val="20"/>
          <w:szCs w:val="20"/>
          <w:lang w:val="es-ES"/>
        </w:rPr>
        <w:lastRenderedPageBreak/>
        <w:t>Efectivamente, en mérito de la necesidad de certeza o de seguridad jurídica y en consideración al principio de derecho público de que únicamente se puede hacer lo que la norma dispone, la Corte solo puede decretar</w:t>
      </w:r>
      <w:r w:rsidR="00CE795A" w:rsidRPr="00D84A52">
        <w:rPr>
          <w:rFonts w:ascii="Verdana" w:eastAsiaTheme="minorEastAsia" w:hAnsi="Verdana"/>
          <w:sz w:val="20"/>
          <w:szCs w:val="20"/>
          <w:lang w:val="es-ES"/>
        </w:rPr>
        <w:t>,</w:t>
      </w:r>
      <w:r w:rsidRPr="00D84A52">
        <w:rPr>
          <w:rFonts w:ascii="Verdana" w:eastAsiaTheme="minorEastAsia" w:hAnsi="Verdana"/>
          <w:sz w:val="20"/>
          <w:szCs w:val="20"/>
          <w:lang w:val="es-ES"/>
        </w:rPr>
        <w:t xml:space="preserve"> respecto de su sentencia</w:t>
      </w:r>
      <w:r w:rsidR="00CE795A" w:rsidRPr="00D84A52">
        <w:rPr>
          <w:rFonts w:ascii="Verdana" w:eastAsiaTheme="minorEastAsia" w:hAnsi="Verdana"/>
          <w:sz w:val="20"/>
          <w:szCs w:val="20"/>
          <w:lang w:val="es-ES"/>
        </w:rPr>
        <w:t>,</w:t>
      </w:r>
      <w:r w:rsidRPr="00D84A52">
        <w:rPr>
          <w:rFonts w:ascii="Verdana" w:eastAsiaTheme="minorEastAsia" w:hAnsi="Verdana"/>
          <w:sz w:val="20"/>
          <w:szCs w:val="20"/>
          <w:lang w:val="es-ES"/>
        </w:rPr>
        <w:t xml:space="preserve"> alguna de las resoluciones que inequívocamente se desprenden de las facultades que taxativamente le han sido conferidas.</w:t>
      </w:r>
    </w:p>
    <w:p w14:paraId="5E00DC46" w14:textId="6869C99E" w:rsidR="00297A89" w:rsidRPr="00D84A52" w:rsidRDefault="00C1764C" w:rsidP="00D4486E">
      <w:pPr>
        <w:spacing w:after="100" w:afterAutospacing="1"/>
        <w:ind w:left="0"/>
        <w:rPr>
          <w:rFonts w:ascii="Verdana" w:eastAsiaTheme="minorEastAsia" w:hAnsi="Verdana"/>
          <w:sz w:val="20"/>
          <w:szCs w:val="20"/>
          <w:lang w:val="es-ES"/>
        </w:rPr>
      </w:pPr>
      <w:r w:rsidRPr="00D84A52">
        <w:rPr>
          <w:rFonts w:ascii="Verdana" w:eastAsiaTheme="minorEastAsia" w:hAnsi="Verdana"/>
          <w:sz w:val="20"/>
          <w:szCs w:val="20"/>
          <w:lang w:val="es-ES"/>
        </w:rPr>
        <w:t>Y así, dictada la sentencia de fondo en un caso, la Corte solo puede</w:t>
      </w:r>
      <w:r w:rsidR="00297A89" w:rsidRPr="00D84A52">
        <w:rPr>
          <w:rFonts w:ascii="Verdana" w:eastAsiaTheme="minorEastAsia" w:hAnsi="Verdana"/>
          <w:sz w:val="20"/>
          <w:szCs w:val="20"/>
          <w:lang w:val="es-ES"/>
        </w:rPr>
        <w:t>:</w:t>
      </w:r>
      <w:r w:rsidRPr="00D84A52">
        <w:rPr>
          <w:rFonts w:ascii="Verdana" w:eastAsiaTheme="minorEastAsia" w:hAnsi="Verdana"/>
          <w:sz w:val="20"/>
          <w:szCs w:val="20"/>
          <w:lang w:val="es-ES"/>
        </w:rPr>
        <w:t xml:space="preserve"> </w:t>
      </w:r>
      <w:r w:rsidR="00297A89" w:rsidRPr="00D84A52">
        <w:rPr>
          <w:rFonts w:ascii="Verdana" w:eastAsiaTheme="minorEastAsia" w:hAnsi="Verdana"/>
          <w:sz w:val="20"/>
          <w:szCs w:val="20"/>
          <w:lang w:val="es-ES"/>
        </w:rPr>
        <w:t xml:space="preserve">a) </w:t>
      </w:r>
      <w:r w:rsidRPr="00D84A52">
        <w:rPr>
          <w:rFonts w:ascii="Verdana" w:eastAsiaTheme="minorEastAsia" w:hAnsi="Verdana"/>
          <w:sz w:val="20"/>
          <w:szCs w:val="20"/>
          <w:lang w:val="es-ES"/>
        </w:rPr>
        <w:t>emitir, si no lo ha hecho, la sentencia de reparaciones y costas</w:t>
      </w:r>
      <w:r w:rsidR="004F55CA">
        <w:rPr>
          <w:rStyle w:val="Refdenotaalpie"/>
          <w:rFonts w:ascii="Verdana" w:eastAsiaTheme="minorEastAsia" w:hAnsi="Verdana"/>
          <w:sz w:val="20"/>
          <w:szCs w:val="20"/>
          <w:lang w:val="es-ES"/>
        </w:rPr>
        <w:footnoteReference w:id="17"/>
      </w:r>
      <w:r w:rsidRPr="00D84A52">
        <w:rPr>
          <w:rFonts w:ascii="Verdana" w:eastAsiaTheme="minorEastAsia" w:hAnsi="Verdana"/>
          <w:sz w:val="20"/>
          <w:szCs w:val="20"/>
          <w:lang w:val="es-ES"/>
        </w:rPr>
        <w:t>;</w:t>
      </w:r>
      <w:r w:rsidRPr="00D84A52">
        <w:rPr>
          <w:rFonts w:ascii="Verdana" w:eastAsiaTheme="minorEastAsia" w:hAnsi="Verdana" w:cs="Arial"/>
          <w:sz w:val="20"/>
          <w:szCs w:val="20"/>
          <w:lang w:val="es-CR"/>
        </w:rPr>
        <w:t xml:space="preserve"> </w:t>
      </w:r>
      <w:r w:rsidR="00297A89" w:rsidRPr="00D84A52">
        <w:rPr>
          <w:rFonts w:ascii="Verdana" w:eastAsiaTheme="minorEastAsia" w:hAnsi="Verdana" w:cs="Arial"/>
          <w:sz w:val="20"/>
          <w:szCs w:val="20"/>
          <w:lang w:val="es-CR"/>
        </w:rPr>
        <w:t xml:space="preserve">b) </w:t>
      </w:r>
      <w:r w:rsidRPr="00D84A52">
        <w:rPr>
          <w:rFonts w:ascii="Verdana" w:eastAsiaTheme="minorEastAsia" w:hAnsi="Verdana" w:cs="Arial"/>
          <w:sz w:val="20"/>
          <w:szCs w:val="20"/>
          <w:lang w:val="es-CR"/>
        </w:rPr>
        <w:t>interpretar</w:t>
      </w:r>
      <w:r w:rsidR="004F55CA">
        <w:rPr>
          <w:rFonts w:ascii="Verdana" w:eastAsiaTheme="minorEastAsia" w:hAnsi="Verdana" w:cs="Arial"/>
          <w:sz w:val="20"/>
          <w:szCs w:val="20"/>
          <w:lang w:val="es-CR"/>
        </w:rPr>
        <w:t>la</w:t>
      </w:r>
      <w:r w:rsidR="004F55CA">
        <w:rPr>
          <w:rStyle w:val="Refdenotaalpie"/>
          <w:rFonts w:ascii="Verdana" w:eastAsiaTheme="minorEastAsia" w:hAnsi="Verdana" w:cs="Arial"/>
          <w:sz w:val="20"/>
          <w:szCs w:val="20"/>
          <w:lang w:val="es-CR"/>
        </w:rPr>
        <w:footnoteReference w:id="18"/>
      </w:r>
      <w:r w:rsidRPr="00D84A52">
        <w:rPr>
          <w:rFonts w:ascii="Verdana" w:eastAsiaTheme="minorEastAsia" w:hAnsi="Verdana" w:cs="Arial"/>
          <w:sz w:val="20"/>
          <w:szCs w:val="20"/>
          <w:lang w:val="es-CR"/>
        </w:rPr>
        <w:t>;</w:t>
      </w:r>
      <w:r w:rsidRPr="00D84A52">
        <w:rPr>
          <w:rFonts w:ascii="Verdana" w:eastAsiaTheme="minorEastAsia" w:hAnsi="Verdana"/>
          <w:sz w:val="20"/>
          <w:szCs w:val="20"/>
          <w:lang w:val="es-ES"/>
        </w:rPr>
        <w:t xml:space="preserve"> </w:t>
      </w:r>
      <w:r w:rsidR="00297A89" w:rsidRPr="00D84A52">
        <w:rPr>
          <w:rFonts w:ascii="Verdana" w:eastAsiaTheme="minorEastAsia" w:hAnsi="Verdana" w:cs="Arial"/>
          <w:sz w:val="20"/>
          <w:szCs w:val="20"/>
          <w:lang w:val="es-CR"/>
        </w:rPr>
        <w:t>c) e</w:t>
      </w:r>
      <w:r w:rsidRPr="00D84A52">
        <w:rPr>
          <w:rFonts w:ascii="Verdana" w:eastAsiaTheme="minorEastAsia" w:hAnsi="Verdana" w:cs="Arial"/>
          <w:sz w:val="20"/>
          <w:szCs w:val="20"/>
          <w:lang w:val="es-CR"/>
        </w:rPr>
        <w:t>nmendar</w:t>
      </w:r>
      <w:r w:rsidR="004F55CA">
        <w:rPr>
          <w:rFonts w:ascii="Verdana" w:eastAsiaTheme="minorEastAsia" w:hAnsi="Verdana" w:cs="Arial"/>
          <w:sz w:val="20"/>
          <w:szCs w:val="20"/>
          <w:lang w:val="es-CR"/>
        </w:rPr>
        <w:t>la</w:t>
      </w:r>
      <w:r w:rsidR="00297A89" w:rsidRPr="00D84A52">
        <w:rPr>
          <w:rFonts w:ascii="Verdana" w:eastAsiaTheme="minorEastAsia" w:hAnsi="Verdana" w:cs="Arial"/>
          <w:sz w:val="20"/>
          <w:szCs w:val="20"/>
          <w:lang w:val="es-CR"/>
        </w:rPr>
        <w:t xml:space="preserve"> por</w:t>
      </w:r>
      <w:r w:rsidRPr="00D84A52">
        <w:rPr>
          <w:rFonts w:ascii="Verdana" w:eastAsiaTheme="minorEastAsia" w:hAnsi="Verdana" w:cs="Arial"/>
          <w:sz w:val="20"/>
          <w:szCs w:val="20"/>
          <w:lang w:val="es-CR"/>
        </w:rPr>
        <w:t xml:space="preserve"> </w:t>
      </w:r>
      <w:r w:rsidRPr="00D84A52">
        <w:rPr>
          <w:rFonts w:ascii="Verdana" w:eastAsiaTheme="minorEastAsia" w:hAnsi="Verdana" w:cs="Arial"/>
          <w:sz w:val="20"/>
          <w:szCs w:val="20"/>
          <w:lang w:val="es-ES"/>
        </w:rPr>
        <w:t xml:space="preserve">errores </w:t>
      </w:r>
      <w:r w:rsidR="00297A89" w:rsidRPr="00D84A52">
        <w:rPr>
          <w:rFonts w:ascii="Verdana" w:eastAsiaTheme="minorEastAsia" w:hAnsi="Verdana" w:cs="Arial"/>
          <w:sz w:val="20"/>
          <w:szCs w:val="20"/>
          <w:lang w:val="es-CR"/>
        </w:rPr>
        <w:t>notorios</w:t>
      </w:r>
      <w:r w:rsidRPr="00D84A52">
        <w:rPr>
          <w:rFonts w:ascii="Verdana" w:eastAsiaTheme="minorEastAsia" w:hAnsi="Verdana" w:cs="Arial"/>
          <w:sz w:val="20"/>
          <w:szCs w:val="20"/>
          <w:lang w:val="es-CR"/>
        </w:rPr>
        <w:t xml:space="preserve"> de edición o de cálculo</w:t>
      </w:r>
      <w:r w:rsidR="00091108">
        <w:rPr>
          <w:rStyle w:val="Refdenotaalpie"/>
          <w:rFonts w:ascii="Verdana" w:eastAsiaTheme="minorEastAsia" w:hAnsi="Verdana" w:cs="Arial"/>
          <w:sz w:val="20"/>
          <w:szCs w:val="20"/>
          <w:lang w:val="es-CR"/>
        </w:rPr>
        <w:footnoteReference w:id="19"/>
      </w:r>
      <w:r w:rsidRPr="00D84A52">
        <w:rPr>
          <w:rFonts w:ascii="Verdana" w:eastAsiaTheme="minorEastAsia" w:hAnsi="Verdana" w:cs="Arial"/>
          <w:sz w:val="20"/>
          <w:szCs w:val="20"/>
          <w:lang w:val="es-CR"/>
        </w:rPr>
        <w:t xml:space="preserve">; </w:t>
      </w:r>
      <w:r w:rsidR="00297A89" w:rsidRPr="00D84A52">
        <w:rPr>
          <w:rFonts w:ascii="Verdana" w:eastAsiaTheme="minorEastAsia" w:hAnsi="Verdana" w:cs="Arial"/>
          <w:sz w:val="20"/>
          <w:szCs w:val="20"/>
          <w:lang w:val="es-CR"/>
        </w:rPr>
        <w:t xml:space="preserve">d) </w:t>
      </w:r>
      <w:r w:rsidR="004F55CA">
        <w:rPr>
          <w:rFonts w:ascii="Verdana" w:eastAsiaTheme="minorEastAsia" w:hAnsi="Verdana"/>
          <w:sz w:val="20"/>
          <w:szCs w:val="20"/>
          <w:lang w:val="es-ES"/>
        </w:rPr>
        <w:t>supervisa</w:t>
      </w:r>
      <w:r w:rsidR="00E124DA">
        <w:rPr>
          <w:rFonts w:ascii="Verdana" w:eastAsiaTheme="minorEastAsia" w:hAnsi="Verdana"/>
          <w:sz w:val="20"/>
          <w:szCs w:val="20"/>
          <w:lang w:val="es-ES"/>
        </w:rPr>
        <w:t>r</w:t>
      </w:r>
      <w:r w:rsidRPr="00D84A52">
        <w:rPr>
          <w:rFonts w:ascii="Verdana" w:eastAsiaTheme="minorEastAsia" w:hAnsi="Verdana"/>
          <w:sz w:val="20"/>
          <w:szCs w:val="20"/>
          <w:lang w:val="es-ES"/>
        </w:rPr>
        <w:t xml:space="preserve"> su cumplimiento</w:t>
      </w:r>
      <w:r w:rsidR="00091108">
        <w:rPr>
          <w:rStyle w:val="Refdenotaalpie"/>
          <w:rFonts w:ascii="Verdana" w:eastAsiaTheme="minorEastAsia" w:hAnsi="Verdana"/>
          <w:sz w:val="20"/>
          <w:szCs w:val="20"/>
          <w:lang w:val="es-ES"/>
        </w:rPr>
        <w:footnoteReference w:id="20"/>
      </w:r>
      <w:r w:rsidRPr="00D84A52">
        <w:rPr>
          <w:rFonts w:ascii="Verdana" w:eastAsiaTheme="minorEastAsia" w:hAnsi="Verdana"/>
          <w:sz w:val="20"/>
          <w:szCs w:val="20"/>
          <w:lang w:val="es-ES"/>
        </w:rPr>
        <w:t xml:space="preserve"> </w:t>
      </w:r>
      <w:r w:rsidRPr="00D84A52">
        <w:rPr>
          <w:rFonts w:ascii="Verdana" w:eastAsiaTheme="minorEastAsia" w:hAnsi="Verdana" w:cs="Arial"/>
          <w:sz w:val="20"/>
          <w:szCs w:val="20"/>
          <w:lang w:val="es-CR"/>
        </w:rPr>
        <w:t>y</w:t>
      </w:r>
      <w:r w:rsidR="00297A89" w:rsidRPr="00D84A52">
        <w:rPr>
          <w:rFonts w:ascii="Verdana" w:eastAsiaTheme="minorEastAsia" w:hAnsi="Verdana" w:cs="Arial"/>
          <w:sz w:val="20"/>
          <w:szCs w:val="20"/>
          <w:lang w:val="es-CR"/>
        </w:rPr>
        <w:t xml:space="preserve"> e)</w:t>
      </w:r>
      <w:r w:rsidRPr="00D84A52">
        <w:rPr>
          <w:rFonts w:ascii="Verdana" w:eastAsiaTheme="minorEastAsia" w:hAnsi="Verdana" w:cs="Arial"/>
          <w:sz w:val="20"/>
          <w:szCs w:val="20"/>
          <w:lang w:val="es-CR"/>
        </w:rPr>
        <w:t>, finalmente, incluir en el Informe Anual que debe remitir a la Asamblea Genera</w:t>
      </w:r>
      <w:r w:rsidR="00297A89" w:rsidRPr="00D84A52">
        <w:rPr>
          <w:rFonts w:ascii="Verdana" w:eastAsiaTheme="minorEastAsia" w:hAnsi="Verdana" w:cs="Arial"/>
          <w:sz w:val="20"/>
          <w:szCs w:val="20"/>
          <w:lang w:val="es-CR"/>
        </w:rPr>
        <w:t>l de los Estados Americanos el caso</w:t>
      </w:r>
      <w:r w:rsidRPr="00D84A52">
        <w:rPr>
          <w:rFonts w:ascii="Verdana" w:eastAsiaTheme="minorEastAsia" w:hAnsi="Verdana" w:cs="Arial"/>
          <w:sz w:val="20"/>
          <w:szCs w:val="20"/>
          <w:lang w:val="es-CR"/>
        </w:rPr>
        <w:t xml:space="preserve"> cuyas sentencias no han sido cumplidas</w:t>
      </w:r>
      <w:r w:rsidR="00091108">
        <w:rPr>
          <w:rStyle w:val="Refdenotaalpie"/>
          <w:rFonts w:ascii="Verdana" w:eastAsiaTheme="minorEastAsia" w:hAnsi="Verdana" w:cs="Arial"/>
          <w:sz w:val="20"/>
          <w:szCs w:val="20"/>
          <w:lang w:val="es-CR"/>
        </w:rPr>
        <w:footnoteReference w:id="21"/>
      </w:r>
      <w:r w:rsidRPr="00D84A52">
        <w:rPr>
          <w:rFonts w:ascii="Verdana" w:eastAsiaTheme="minorEastAsia" w:hAnsi="Verdana" w:cs="Arial"/>
          <w:sz w:val="20"/>
          <w:szCs w:val="20"/>
          <w:lang w:val="es-CR"/>
        </w:rPr>
        <w:t xml:space="preserve">. </w:t>
      </w:r>
    </w:p>
    <w:p w14:paraId="620F48BD" w14:textId="77777777" w:rsidR="00297A89" w:rsidRPr="00D84A52" w:rsidRDefault="00C1764C" w:rsidP="00D4486E">
      <w:pPr>
        <w:spacing w:after="100" w:afterAutospacing="1"/>
        <w:ind w:left="0"/>
        <w:rPr>
          <w:rFonts w:ascii="Verdana" w:eastAsiaTheme="minorEastAsia" w:hAnsi="Verdana" w:cs="Arial"/>
          <w:sz w:val="20"/>
          <w:szCs w:val="20"/>
          <w:lang w:val="es-ES"/>
        </w:rPr>
      </w:pPr>
      <w:r w:rsidRPr="00D84A52">
        <w:rPr>
          <w:rFonts w:ascii="Verdana" w:eastAsiaTheme="minorEastAsia" w:hAnsi="Verdana" w:cs="Arial"/>
          <w:sz w:val="20"/>
          <w:szCs w:val="20"/>
          <w:lang w:val="es-ES"/>
        </w:rPr>
        <w:t>Se reitera, entonces, que, como puede desprenderse de lo expuesto, las providencias que la Corte puede llevar a cabo o disponer con posterioridad al pronunciamiento de su respectiva sentencia definitiva e inapelable, son expresamente previstas en la normativa aplicable, la que no comprende la  posibilidad de decretar medidas provisionales en tal</w:t>
      </w:r>
      <w:r w:rsidR="00297A89" w:rsidRPr="00D84A52">
        <w:rPr>
          <w:rFonts w:ascii="Verdana" w:eastAsiaTheme="minorEastAsia" w:hAnsi="Verdana" w:cs="Arial"/>
          <w:sz w:val="20"/>
          <w:szCs w:val="20"/>
          <w:lang w:val="es-ES"/>
        </w:rPr>
        <w:t xml:space="preserve"> eventualidad. </w:t>
      </w:r>
      <w:r w:rsidRPr="00D84A52">
        <w:rPr>
          <w:rFonts w:ascii="Verdana" w:eastAsiaTheme="minorEastAsia" w:hAnsi="Verdana" w:cs="Arial"/>
          <w:sz w:val="20"/>
          <w:szCs w:val="20"/>
          <w:lang w:val="es-ES"/>
        </w:rPr>
        <w:t>En otras palabras, visto que la posibilidad de dictar medidas provisionales con relación a un caso en donde ya se ha dictado sentencia definitiva e inapelable no se encuentra contemplada en norma alguna, se concluye que la Corte carece de facultad para proceder en tal sentido.</w:t>
      </w:r>
    </w:p>
    <w:p w14:paraId="7F66564B" w14:textId="77777777" w:rsidR="00C1764C" w:rsidRPr="00D84A52" w:rsidRDefault="00C1764C" w:rsidP="00D4486E">
      <w:pPr>
        <w:spacing w:after="100" w:afterAutospacing="1"/>
        <w:ind w:left="0"/>
        <w:rPr>
          <w:rFonts w:ascii="Verdana" w:eastAsiaTheme="minorEastAsia" w:hAnsi="Verdana"/>
          <w:sz w:val="20"/>
          <w:szCs w:val="20"/>
          <w:lang w:val="es-ES"/>
        </w:rPr>
      </w:pPr>
      <w:r w:rsidRPr="00D84A52">
        <w:rPr>
          <w:rFonts w:ascii="Verdana" w:eastAsiaTheme="minorEastAsia" w:hAnsi="Verdana"/>
          <w:sz w:val="20"/>
          <w:szCs w:val="20"/>
          <w:lang w:val="es-ES"/>
        </w:rPr>
        <w:t>Lo in</w:t>
      </w:r>
      <w:r w:rsidR="00297A89" w:rsidRPr="00D84A52">
        <w:rPr>
          <w:rFonts w:ascii="Verdana" w:eastAsiaTheme="minorEastAsia" w:hAnsi="Verdana"/>
          <w:sz w:val="20"/>
          <w:szCs w:val="20"/>
          <w:lang w:val="es-ES"/>
        </w:rPr>
        <w:t xml:space="preserve">dicado implica, igualmente, que como </w:t>
      </w:r>
      <w:r w:rsidRPr="00D84A52">
        <w:rPr>
          <w:rFonts w:ascii="Verdana" w:eastAsiaTheme="minorEastAsia" w:hAnsi="Verdana"/>
          <w:sz w:val="20"/>
          <w:szCs w:val="20"/>
          <w:lang w:val="es-ES"/>
        </w:rPr>
        <w:t>es en ejercicio de su competencia contenciosa que la Cort</w:t>
      </w:r>
      <w:r w:rsidR="00297A89" w:rsidRPr="00D84A52">
        <w:rPr>
          <w:rFonts w:ascii="Verdana" w:eastAsiaTheme="minorEastAsia" w:hAnsi="Verdana"/>
          <w:sz w:val="20"/>
          <w:szCs w:val="20"/>
          <w:lang w:val="es-ES"/>
        </w:rPr>
        <w:t xml:space="preserve">e decreta </w:t>
      </w:r>
      <w:r w:rsidRPr="00D84A52">
        <w:rPr>
          <w:rFonts w:ascii="Verdana" w:eastAsiaTheme="minorEastAsia" w:hAnsi="Verdana"/>
          <w:sz w:val="20"/>
          <w:szCs w:val="20"/>
          <w:lang w:val="es-ES"/>
        </w:rPr>
        <w:t>medidas pr</w:t>
      </w:r>
      <w:r w:rsidR="00297A89" w:rsidRPr="00D84A52">
        <w:rPr>
          <w:rFonts w:ascii="Verdana" w:eastAsiaTheme="minorEastAsia" w:hAnsi="Verdana"/>
          <w:sz w:val="20"/>
          <w:szCs w:val="20"/>
          <w:lang w:val="es-ES"/>
        </w:rPr>
        <w:t xml:space="preserve">ovisionales, éstas lógicamente </w:t>
      </w:r>
      <w:r w:rsidRPr="00D84A52">
        <w:rPr>
          <w:rFonts w:ascii="Verdana" w:eastAsiaTheme="minorEastAsia" w:hAnsi="Verdana"/>
          <w:sz w:val="20"/>
          <w:szCs w:val="20"/>
          <w:lang w:val="es-ES"/>
        </w:rPr>
        <w:t>son concebidas, no solo como excepcionales, sino también como</w:t>
      </w:r>
      <w:r w:rsidR="00297A89" w:rsidRPr="00D84A52">
        <w:rPr>
          <w:rFonts w:ascii="Verdana" w:eastAsiaTheme="minorEastAsia" w:hAnsi="Verdana"/>
          <w:sz w:val="20"/>
          <w:szCs w:val="20"/>
          <w:lang w:val="es-ES"/>
        </w:rPr>
        <w:t xml:space="preserve"> transitorias hasta que aquella</w:t>
      </w:r>
      <w:r w:rsidRPr="00D84A52">
        <w:rPr>
          <w:rFonts w:ascii="Verdana" w:eastAsiaTheme="minorEastAsia" w:hAnsi="Verdana"/>
          <w:sz w:val="20"/>
          <w:szCs w:val="20"/>
          <w:lang w:val="es-ES"/>
        </w:rPr>
        <w:t xml:space="preserve"> resuelva el correspondiente caso. </w:t>
      </w:r>
    </w:p>
    <w:p w14:paraId="14098112" w14:textId="25187CEB" w:rsidR="00C1764C" w:rsidRPr="008568F1" w:rsidRDefault="002B599D" w:rsidP="00D4486E">
      <w:pPr>
        <w:spacing w:after="100" w:afterAutospacing="1"/>
        <w:ind w:left="0"/>
        <w:contextualSpacing/>
        <w:rPr>
          <w:rFonts w:ascii="Verdana" w:eastAsiaTheme="minorEastAsia" w:hAnsi="Verdana" w:cs="Times New Roman"/>
          <w:b/>
          <w:sz w:val="20"/>
          <w:szCs w:val="20"/>
          <w:lang w:val="es-ES"/>
        </w:rPr>
      </w:pPr>
      <w:r w:rsidRPr="008568F1">
        <w:rPr>
          <w:rFonts w:ascii="Verdana" w:eastAsiaTheme="minorEastAsia" w:hAnsi="Verdana"/>
          <w:b/>
          <w:sz w:val="20"/>
          <w:szCs w:val="20"/>
          <w:lang w:val="es-ES"/>
        </w:rPr>
        <w:t>2</w:t>
      </w:r>
      <w:r w:rsidR="00EB1CC5" w:rsidRPr="008568F1">
        <w:rPr>
          <w:rFonts w:ascii="Verdana" w:eastAsiaTheme="minorEastAsia" w:hAnsi="Verdana"/>
          <w:b/>
          <w:sz w:val="20"/>
          <w:szCs w:val="20"/>
          <w:lang w:val="es-ES"/>
        </w:rPr>
        <w:t xml:space="preserve">. </w:t>
      </w:r>
      <w:r w:rsidR="00C1764C" w:rsidRPr="008568F1">
        <w:rPr>
          <w:rFonts w:ascii="Verdana" w:eastAsiaTheme="minorEastAsia" w:hAnsi="Verdana"/>
          <w:b/>
          <w:sz w:val="20"/>
          <w:szCs w:val="20"/>
          <w:lang w:val="es-ES"/>
        </w:rPr>
        <w:t>Algun</w:t>
      </w:r>
      <w:r w:rsidR="00161C16">
        <w:rPr>
          <w:rFonts w:ascii="Verdana" w:eastAsiaTheme="minorEastAsia" w:hAnsi="Verdana"/>
          <w:b/>
          <w:sz w:val="20"/>
          <w:szCs w:val="20"/>
          <w:lang w:val="es-ES"/>
        </w:rPr>
        <w:t>as consecuencias de la emisión</w:t>
      </w:r>
      <w:r w:rsidR="00C1764C" w:rsidRPr="008568F1">
        <w:rPr>
          <w:rFonts w:ascii="Verdana" w:eastAsiaTheme="minorEastAsia" w:hAnsi="Verdana"/>
          <w:b/>
          <w:sz w:val="20"/>
          <w:szCs w:val="20"/>
          <w:lang w:val="es-ES"/>
        </w:rPr>
        <w:t xml:space="preserve"> de medidas provisionales con posterioridad a la sentencia.</w:t>
      </w:r>
    </w:p>
    <w:p w14:paraId="4BA952E6" w14:textId="77777777" w:rsidR="00D84A52" w:rsidRPr="00D84A52" w:rsidRDefault="00D84A52" w:rsidP="00D4486E">
      <w:pPr>
        <w:spacing w:after="100" w:afterAutospacing="1"/>
        <w:ind w:left="0"/>
        <w:contextualSpacing/>
        <w:rPr>
          <w:rFonts w:ascii="Verdana" w:eastAsiaTheme="minorEastAsia" w:hAnsi="Verdana" w:cs="Times New Roman"/>
          <w:sz w:val="20"/>
          <w:szCs w:val="20"/>
          <w:lang w:val="es-ES"/>
        </w:rPr>
      </w:pPr>
    </w:p>
    <w:p w14:paraId="39DE26B5" w14:textId="77777777" w:rsidR="00D84A52" w:rsidRPr="00D84A52" w:rsidRDefault="00C1764C" w:rsidP="00D4486E">
      <w:pPr>
        <w:spacing w:after="100" w:afterAutospacing="1"/>
        <w:ind w:left="0"/>
        <w:rPr>
          <w:rFonts w:ascii="Verdana" w:eastAsiaTheme="minorEastAsia" w:hAnsi="Verdana" w:cs="Arial"/>
          <w:sz w:val="20"/>
          <w:szCs w:val="20"/>
          <w:lang w:val="es-CR"/>
        </w:rPr>
      </w:pPr>
      <w:r w:rsidRPr="00D84A52">
        <w:rPr>
          <w:rFonts w:ascii="Verdana" w:eastAsiaTheme="minorEastAsia" w:hAnsi="Verdana" w:cs="Arial"/>
          <w:sz w:val="20"/>
          <w:szCs w:val="20"/>
          <w:lang w:val="es-CR"/>
        </w:rPr>
        <w:t>A mayor abundamiento y en términos generales, se podría sostener que, de aceptarse que la Corte tendría la facultad de disponer medidas provisionales una vez ya dictada la S</w:t>
      </w:r>
      <w:r w:rsidR="00CD6907" w:rsidRPr="00D84A52">
        <w:rPr>
          <w:rFonts w:ascii="Verdana" w:eastAsiaTheme="minorEastAsia" w:hAnsi="Verdana" w:cs="Arial"/>
          <w:sz w:val="20"/>
          <w:szCs w:val="20"/>
          <w:lang w:val="es-CR"/>
        </w:rPr>
        <w:t>entencia</w:t>
      </w:r>
      <w:r w:rsidRPr="00D84A52">
        <w:rPr>
          <w:rFonts w:ascii="Verdana" w:eastAsiaTheme="minorEastAsia" w:hAnsi="Verdana" w:cs="Arial"/>
          <w:sz w:val="20"/>
          <w:szCs w:val="20"/>
          <w:lang w:val="es-CR"/>
        </w:rPr>
        <w:t>, ello podría acarrear consecuencias no deseadas o improcedentes, algunas de las</w:t>
      </w:r>
      <w:r w:rsidR="00CD6907" w:rsidRPr="00D84A52">
        <w:rPr>
          <w:rFonts w:ascii="Verdana" w:eastAsiaTheme="minorEastAsia" w:hAnsi="Verdana" w:cs="Arial"/>
          <w:sz w:val="20"/>
          <w:szCs w:val="20"/>
          <w:lang w:val="es-CR"/>
        </w:rPr>
        <w:t xml:space="preserve"> cuales se detallan a continuación</w:t>
      </w:r>
      <w:r w:rsidRPr="00D84A52">
        <w:rPr>
          <w:rFonts w:ascii="Verdana" w:eastAsiaTheme="minorEastAsia" w:hAnsi="Verdana" w:cs="Arial"/>
          <w:sz w:val="20"/>
          <w:szCs w:val="20"/>
          <w:lang w:val="es-CR"/>
        </w:rPr>
        <w:t>.</w:t>
      </w:r>
    </w:p>
    <w:p w14:paraId="1A7FCFD6" w14:textId="77777777" w:rsidR="00CD6907" w:rsidRPr="00D84A52" w:rsidRDefault="00C1764C" w:rsidP="00D4486E">
      <w:pPr>
        <w:spacing w:after="100" w:afterAutospacing="1"/>
        <w:ind w:left="0"/>
        <w:rPr>
          <w:rFonts w:ascii="Verdana" w:eastAsiaTheme="minorEastAsia" w:hAnsi="Verdana" w:cs="Arial"/>
          <w:sz w:val="20"/>
          <w:szCs w:val="20"/>
          <w:lang w:val="es-CR"/>
        </w:rPr>
      </w:pPr>
      <w:r w:rsidRPr="00D84A52">
        <w:rPr>
          <w:rFonts w:ascii="Verdana" w:eastAsiaTheme="minorEastAsia" w:hAnsi="Verdana" w:cs="Arial"/>
          <w:sz w:val="20"/>
          <w:szCs w:val="20"/>
          <w:lang w:val="es-CR"/>
        </w:rPr>
        <w:t>Por de pronto, en tal eventualidad, las medidas provisionales no serían tales, es decir, no estarían limitadas en el tiempo, no serían trans</w:t>
      </w:r>
      <w:r w:rsidR="00E83B0B">
        <w:rPr>
          <w:rFonts w:ascii="Verdana" w:eastAsiaTheme="minorEastAsia" w:hAnsi="Verdana" w:cs="Arial"/>
          <w:sz w:val="20"/>
          <w:szCs w:val="20"/>
          <w:lang w:val="es-CR"/>
        </w:rPr>
        <w:t>itorias, pasajeras, temporales o</w:t>
      </w:r>
      <w:r w:rsidRPr="00D84A52">
        <w:rPr>
          <w:rFonts w:ascii="Verdana" w:eastAsiaTheme="minorEastAsia" w:hAnsi="Verdana" w:cs="Arial"/>
          <w:sz w:val="20"/>
          <w:szCs w:val="20"/>
          <w:lang w:val="es-CR"/>
        </w:rPr>
        <w:t xml:space="preserve"> circunstanciales, que es lo que las caracteriza. E</w:t>
      </w:r>
      <w:r w:rsidR="00CD6907" w:rsidRPr="00D84A52">
        <w:rPr>
          <w:rFonts w:ascii="Verdana" w:eastAsiaTheme="minorEastAsia" w:hAnsi="Verdana" w:cs="Arial"/>
          <w:sz w:val="20"/>
          <w:szCs w:val="20"/>
          <w:lang w:val="es-CR"/>
        </w:rPr>
        <w:t>fectivamente, en tal hipótesis, no habría</w:t>
      </w:r>
      <w:r w:rsidRPr="00D84A52">
        <w:rPr>
          <w:rFonts w:ascii="Verdana" w:eastAsiaTheme="minorEastAsia" w:hAnsi="Verdana" w:cs="Arial"/>
          <w:sz w:val="20"/>
          <w:szCs w:val="20"/>
          <w:lang w:val="es-CR"/>
        </w:rPr>
        <w:t xml:space="preserve"> </w:t>
      </w:r>
      <w:r w:rsidRPr="00D84A52">
        <w:rPr>
          <w:rFonts w:ascii="Verdana" w:eastAsiaTheme="minorEastAsia" w:hAnsi="Verdana" w:cs="Arial"/>
          <w:sz w:val="20"/>
          <w:szCs w:val="20"/>
          <w:lang w:val="es-CR"/>
        </w:rPr>
        <w:lastRenderedPageBreak/>
        <w:t>parámetro que permita determinar la provisio</w:t>
      </w:r>
      <w:r w:rsidR="00CD6907" w:rsidRPr="00D84A52">
        <w:rPr>
          <w:rFonts w:ascii="Verdana" w:eastAsiaTheme="minorEastAsia" w:hAnsi="Verdana" w:cs="Arial"/>
          <w:sz w:val="20"/>
          <w:szCs w:val="20"/>
          <w:lang w:val="es-CR"/>
        </w:rPr>
        <w:t>nalidad de aquellas, lo que haría</w:t>
      </w:r>
      <w:r w:rsidRPr="00D84A52">
        <w:rPr>
          <w:rFonts w:ascii="Verdana" w:eastAsiaTheme="minorEastAsia" w:hAnsi="Verdana" w:cs="Arial"/>
          <w:sz w:val="20"/>
          <w:szCs w:val="20"/>
          <w:lang w:val="es-CR"/>
        </w:rPr>
        <w:t xml:space="preserve"> que se transformen, en realidad, en permanentes.</w:t>
      </w:r>
    </w:p>
    <w:p w14:paraId="345515AA" w14:textId="2DC89882" w:rsidR="00CD6907" w:rsidRPr="00D84A52" w:rsidRDefault="00CD6907" w:rsidP="00D4486E">
      <w:pPr>
        <w:spacing w:after="100" w:afterAutospacing="1"/>
        <w:ind w:left="0"/>
        <w:rPr>
          <w:rFonts w:ascii="Verdana" w:eastAsiaTheme="minorEastAsia" w:hAnsi="Verdana" w:cs="Tahoma"/>
          <w:sz w:val="20"/>
          <w:szCs w:val="20"/>
          <w:lang w:val="es-CR"/>
        </w:rPr>
      </w:pPr>
      <w:r w:rsidRPr="00D84A52">
        <w:rPr>
          <w:rFonts w:ascii="Verdana" w:eastAsiaTheme="minorEastAsia" w:hAnsi="Verdana" w:cs="Arial"/>
          <w:sz w:val="20"/>
          <w:szCs w:val="20"/>
          <w:lang w:val="es-CR"/>
        </w:rPr>
        <w:t>Por otra parte,</w:t>
      </w:r>
      <w:r w:rsidR="00C1764C" w:rsidRPr="00D84A52">
        <w:rPr>
          <w:rFonts w:ascii="Verdana" w:eastAsiaTheme="minorEastAsia" w:hAnsi="Verdana" w:cs="Arial"/>
          <w:sz w:val="20"/>
          <w:szCs w:val="20"/>
          <w:lang w:val="es-CR"/>
        </w:rPr>
        <w:t xml:space="preserve"> el juicio ya finalizado por sentencia definitiva e inapelable, en la práctica se prolonga</w:t>
      </w:r>
      <w:r w:rsidRPr="00D84A52">
        <w:rPr>
          <w:rFonts w:ascii="Verdana" w:eastAsiaTheme="minorEastAsia" w:hAnsi="Verdana" w:cs="Arial"/>
          <w:sz w:val="20"/>
          <w:szCs w:val="20"/>
          <w:lang w:val="es-CR"/>
        </w:rPr>
        <w:t>ría,</w:t>
      </w:r>
      <w:r w:rsidR="00C1764C" w:rsidRPr="00D84A52">
        <w:rPr>
          <w:rFonts w:ascii="Verdana" w:eastAsiaTheme="minorEastAsia" w:hAnsi="Verdana" w:cs="Arial"/>
          <w:sz w:val="20"/>
          <w:szCs w:val="20"/>
          <w:lang w:val="es-CR"/>
        </w:rPr>
        <w:t xml:space="preserve"> despojando a esta última de su principal efecto, cual es, precisamente el de finalizar el correspondiente caso, otorgándole el efecto de cosa juzgada.</w:t>
      </w:r>
      <w:r w:rsidR="00C1764C" w:rsidRPr="00D84A52">
        <w:rPr>
          <w:rFonts w:ascii="Verdana" w:eastAsiaTheme="minorEastAsia" w:hAnsi="Verdana" w:cs="Tahoma"/>
          <w:sz w:val="20"/>
          <w:szCs w:val="20"/>
          <w:lang w:val="es-CR"/>
        </w:rPr>
        <w:t xml:space="preserve"> Es decir, la adopción de medid</w:t>
      </w:r>
      <w:r w:rsidRPr="00D84A52">
        <w:rPr>
          <w:rFonts w:ascii="Verdana" w:eastAsiaTheme="minorEastAsia" w:hAnsi="Verdana" w:cs="Tahoma"/>
          <w:sz w:val="20"/>
          <w:szCs w:val="20"/>
          <w:lang w:val="es-CR"/>
        </w:rPr>
        <w:t xml:space="preserve">as provisionales </w:t>
      </w:r>
      <w:r w:rsidR="001944DD">
        <w:rPr>
          <w:rFonts w:ascii="Verdana" w:eastAsiaTheme="minorEastAsia" w:hAnsi="Verdana" w:cs="Tahoma"/>
          <w:sz w:val="20"/>
          <w:szCs w:val="20"/>
          <w:lang w:val="es-CR"/>
        </w:rPr>
        <w:t>con posterioridad a la emisión</w:t>
      </w:r>
      <w:r w:rsidRPr="00D84A52">
        <w:rPr>
          <w:rFonts w:ascii="Verdana" w:eastAsiaTheme="minorEastAsia" w:hAnsi="Verdana" w:cs="Tahoma"/>
          <w:sz w:val="20"/>
          <w:szCs w:val="20"/>
          <w:lang w:val="es-CR"/>
        </w:rPr>
        <w:t xml:space="preserve"> de la sentencia</w:t>
      </w:r>
      <w:r w:rsidR="0029460A">
        <w:rPr>
          <w:rFonts w:ascii="Verdana" w:eastAsiaTheme="minorEastAsia" w:hAnsi="Verdana" w:cs="Tahoma"/>
          <w:sz w:val="20"/>
          <w:szCs w:val="20"/>
          <w:lang w:val="es-CR"/>
        </w:rPr>
        <w:t xml:space="preserve"> definitiva e inapelable</w:t>
      </w:r>
      <w:r w:rsidRPr="00D84A52">
        <w:rPr>
          <w:rFonts w:ascii="Verdana" w:eastAsiaTheme="minorEastAsia" w:hAnsi="Verdana" w:cs="Tahoma"/>
          <w:sz w:val="20"/>
          <w:szCs w:val="20"/>
          <w:lang w:val="es-CR"/>
        </w:rPr>
        <w:t xml:space="preserve">, sería </w:t>
      </w:r>
      <w:r w:rsidR="00C1764C" w:rsidRPr="00D84A52">
        <w:rPr>
          <w:rFonts w:ascii="Verdana" w:eastAsiaTheme="minorEastAsia" w:hAnsi="Verdana" w:cs="Tahoma"/>
          <w:sz w:val="20"/>
          <w:szCs w:val="20"/>
          <w:lang w:val="es-CR"/>
        </w:rPr>
        <w:t>una dem</w:t>
      </w:r>
      <w:r w:rsidR="0029460A">
        <w:rPr>
          <w:rFonts w:ascii="Verdana" w:eastAsiaTheme="minorEastAsia" w:hAnsi="Verdana" w:cs="Tahoma"/>
          <w:sz w:val="20"/>
          <w:szCs w:val="20"/>
          <w:lang w:val="es-CR"/>
        </w:rPr>
        <w:t xml:space="preserve">ostración indiscutible de que ella  </w:t>
      </w:r>
      <w:r w:rsidRPr="00D84A52">
        <w:rPr>
          <w:rFonts w:ascii="Verdana" w:eastAsiaTheme="minorEastAsia" w:hAnsi="Verdana" w:cs="Tahoma"/>
          <w:sz w:val="20"/>
          <w:szCs w:val="20"/>
          <w:lang w:val="es-CR"/>
        </w:rPr>
        <w:t>sería</w:t>
      </w:r>
      <w:r w:rsidR="00C1764C" w:rsidRPr="00D84A52">
        <w:rPr>
          <w:rFonts w:ascii="Verdana" w:eastAsiaTheme="minorEastAsia" w:hAnsi="Verdana" w:cs="Tahoma"/>
          <w:sz w:val="20"/>
          <w:szCs w:val="20"/>
          <w:lang w:val="es-CR"/>
        </w:rPr>
        <w:t xml:space="preserve"> insuficiente para lograr que </w:t>
      </w:r>
      <w:r w:rsidR="00C1764C" w:rsidRPr="00D84A52">
        <w:rPr>
          <w:rFonts w:ascii="Verdana" w:eastAsiaTheme="minorEastAsia" w:hAnsi="Verdana" w:cs="Arial"/>
          <w:sz w:val="20"/>
          <w:szCs w:val="20"/>
          <w:lang w:val="es-CR"/>
        </w:rPr>
        <w:t>“</w:t>
      </w:r>
      <w:r w:rsidR="00C1764C" w:rsidRPr="00D84A52">
        <w:rPr>
          <w:rFonts w:ascii="Verdana" w:eastAsiaTheme="minorEastAsia" w:hAnsi="Verdana" w:cs="Tahoma"/>
          <w:i/>
          <w:sz w:val="20"/>
          <w:szCs w:val="20"/>
          <w:lang w:val="es-CR"/>
        </w:rPr>
        <w:t>se garantice al lesionado en el goce de su derecho o libertad conculcado</w:t>
      </w:r>
      <w:r w:rsidR="00C1764C" w:rsidRPr="00D84A52">
        <w:rPr>
          <w:rFonts w:ascii="Verdana" w:eastAsiaTheme="minorEastAsia" w:hAnsi="Verdana" w:cs="Tahoma"/>
          <w:sz w:val="20"/>
          <w:szCs w:val="20"/>
          <w:lang w:val="es-CR"/>
        </w:rPr>
        <w:t>(s)”</w:t>
      </w:r>
      <w:r w:rsidR="00C1764C" w:rsidRPr="00D84A52">
        <w:rPr>
          <w:rStyle w:val="Refdenotaalpie"/>
          <w:rFonts w:ascii="Verdana" w:eastAsiaTheme="minorEastAsia" w:hAnsi="Verdana" w:cs="Tahoma"/>
          <w:sz w:val="20"/>
          <w:szCs w:val="20"/>
          <w:lang w:val="es-CR"/>
        </w:rPr>
        <w:footnoteReference w:id="22"/>
      </w:r>
      <w:r w:rsidR="00C1764C" w:rsidRPr="00D84A52">
        <w:rPr>
          <w:rFonts w:ascii="Verdana" w:eastAsiaTheme="minorEastAsia" w:hAnsi="Verdana" w:cs="Tahoma"/>
          <w:sz w:val="20"/>
          <w:szCs w:val="20"/>
          <w:lang w:val="es-CR"/>
        </w:rPr>
        <w:t>.</w:t>
      </w:r>
    </w:p>
    <w:p w14:paraId="3F2CFB31" w14:textId="77777777" w:rsidR="005E4396" w:rsidRPr="008568F1" w:rsidRDefault="002B599D" w:rsidP="00D4486E">
      <w:pPr>
        <w:spacing w:after="100" w:afterAutospacing="1"/>
        <w:ind w:left="0"/>
        <w:rPr>
          <w:rFonts w:ascii="Verdana" w:eastAsiaTheme="minorEastAsia" w:hAnsi="Verdana"/>
          <w:b/>
          <w:sz w:val="20"/>
          <w:szCs w:val="20"/>
          <w:lang w:val="es-ES"/>
        </w:rPr>
      </w:pPr>
      <w:r w:rsidRPr="008568F1">
        <w:rPr>
          <w:rFonts w:ascii="Verdana" w:eastAsiaTheme="minorEastAsia" w:hAnsi="Verdana"/>
          <w:b/>
          <w:sz w:val="20"/>
          <w:szCs w:val="20"/>
          <w:lang w:val="es-ES"/>
        </w:rPr>
        <w:t>3</w:t>
      </w:r>
      <w:r w:rsidR="005E4396" w:rsidRPr="008568F1">
        <w:rPr>
          <w:rFonts w:ascii="Verdana" w:eastAsiaTheme="minorEastAsia" w:hAnsi="Verdana"/>
          <w:b/>
          <w:sz w:val="20"/>
          <w:szCs w:val="20"/>
          <w:lang w:val="es-ES"/>
        </w:rPr>
        <w:t>. Improcedencia de las medidas provisionales decretadas en autos</w:t>
      </w:r>
      <w:r w:rsidR="00FA160B" w:rsidRPr="008568F1">
        <w:rPr>
          <w:rFonts w:ascii="Verdana" w:eastAsiaTheme="minorEastAsia" w:hAnsi="Verdana"/>
          <w:b/>
          <w:sz w:val="20"/>
          <w:szCs w:val="20"/>
          <w:lang w:val="es-ES"/>
        </w:rPr>
        <w:t xml:space="preserve"> y la disidencia con la Resolución.</w:t>
      </w:r>
    </w:p>
    <w:p w14:paraId="3BAD57E0" w14:textId="77777777" w:rsidR="007367B5" w:rsidRDefault="00CD6907" w:rsidP="00D4486E">
      <w:pPr>
        <w:spacing w:after="100" w:afterAutospacing="1"/>
        <w:ind w:left="0"/>
        <w:rPr>
          <w:rFonts w:ascii="Verdana" w:eastAsiaTheme="minorEastAsia" w:hAnsi="Verdana" w:cs="Tahoma"/>
          <w:sz w:val="20"/>
          <w:szCs w:val="20"/>
          <w:lang w:val="es-CR"/>
        </w:rPr>
      </w:pPr>
      <w:r w:rsidRPr="00D84A52">
        <w:rPr>
          <w:rFonts w:ascii="Verdana" w:eastAsiaTheme="minorEastAsia" w:hAnsi="Verdana"/>
          <w:sz w:val="20"/>
          <w:szCs w:val="20"/>
          <w:lang w:val="es-ES"/>
        </w:rPr>
        <w:t xml:space="preserve">Así las cosas, cabe recordar que </w:t>
      </w:r>
      <w:r w:rsidR="00394F0A">
        <w:rPr>
          <w:rFonts w:ascii="Verdana" w:eastAsiaTheme="minorEastAsia" w:hAnsi="Verdana"/>
          <w:sz w:val="20"/>
          <w:szCs w:val="20"/>
          <w:lang w:val="es-ES"/>
        </w:rPr>
        <w:t xml:space="preserve">la Sentencia </w:t>
      </w:r>
      <w:r w:rsidR="00297A89" w:rsidRPr="00D84A52">
        <w:rPr>
          <w:rFonts w:ascii="Verdana" w:eastAsiaTheme="minorEastAsia" w:hAnsi="Verdana"/>
          <w:sz w:val="20"/>
          <w:szCs w:val="20"/>
          <w:lang w:val="es-ES"/>
        </w:rPr>
        <w:t xml:space="preserve">en el </w:t>
      </w:r>
      <w:r w:rsidR="00297A89" w:rsidRPr="00D84A52">
        <w:rPr>
          <w:rStyle w:val="Textoennegrita"/>
          <w:rFonts w:ascii="Verdana" w:hAnsi="Verdana"/>
          <w:b w:val="0"/>
          <w:i/>
          <w:color w:val="000000"/>
          <w:sz w:val="20"/>
          <w:szCs w:val="20"/>
          <w:shd w:val="clear" w:color="auto" w:fill="FFFFFF"/>
        </w:rPr>
        <w:t>Caso Masacres de El Mozote y lugares aledaños Vs. El Salvador</w:t>
      </w:r>
      <w:r w:rsidR="00394F0A">
        <w:rPr>
          <w:rStyle w:val="Textoennegrita"/>
          <w:rFonts w:ascii="Verdana" w:hAnsi="Verdana"/>
          <w:b w:val="0"/>
          <w:color w:val="000000"/>
          <w:sz w:val="20"/>
          <w:szCs w:val="20"/>
          <w:shd w:val="clear" w:color="auto" w:fill="FFFFFF"/>
        </w:rPr>
        <w:t xml:space="preserve"> se pronunció el 25 de octubre de 2012 y que las medidas provisionales de autos se solicitaron el 24 de mayo de 2019</w:t>
      </w:r>
      <w:r w:rsidRPr="00D84A52">
        <w:rPr>
          <w:rFonts w:ascii="Verdana" w:eastAsiaTheme="minorEastAsia" w:hAnsi="Verdana"/>
          <w:bCs/>
          <w:color w:val="000000"/>
          <w:sz w:val="20"/>
          <w:szCs w:val="20"/>
          <w:shd w:val="clear" w:color="auto" w:fill="FFFFFF"/>
          <w:lang w:val="es-CR"/>
        </w:rPr>
        <w:t xml:space="preserve">, es decir, en momentos en que </w:t>
      </w:r>
      <w:r w:rsidR="00297A89" w:rsidRPr="00D84A52">
        <w:rPr>
          <w:rFonts w:ascii="Verdana" w:eastAsiaTheme="minorEastAsia" w:hAnsi="Verdana"/>
          <w:bCs/>
          <w:color w:val="000000"/>
          <w:sz w:val="20"/>
          <w:szCs w:val="20"/>
          <w:shd w:val="clear" w:color="auto" w:fill="FFFFFF"/>
          <w:lang w:val="es-CR"/>
        </w:rPr>
        <w:t>la Corte ha</w:t>
      </w:r>
      <w:r w:rsidRPr="00D84A52">
        <w:rPr>
          <w:rFonts w:ascii="Verdana" w:eastAsiaTheme="minorEastAsia" w:hAnsi="Verdana"/>
          <w:bCs/>
          <w:color w:val="000000"/>
          <w:sz w:val="20"/>
          <w:szCs w:val="20"/>
          <w:shd w:val="clear" w:color="auto" w:fill="FFFFFF"/>
          <w:lang w:val="es-CR"/>
        </w:rPr>
        <w:t>bía</w:t>
      </w:r>
      <w:r w:rsidR="00297A89" w:rsidRPr="00D84A52">
        <w:rPr>
          <w:rFonts w:ascii="Verdana" w:eastAsiaTheme="minorEastAsia" w:hAnsi="Verdana"/>
          <w:bCs/>
          <w:color w:val="000000"/>
          <w:sz w:val="20"/>
          <w:szCs w:val="20"/>
          <w:shd w:val="clear" w:color="auto" w:fill="FFFFFF"/>
          <w:lang w:val="es-CR"/>
        </w:rPr>
        <w:t xml:space="preserve"> dejado de conocer</w:t>
      </w:r>
      <w:r w:rsidR="007367B5">
        <w:rPr>
          <w:rFonts w:ascii="Verdana" w:eastAsiaTheme="minorEastAsia" w:hAnsi="Verdana"/>
          <w:bCs/>
          <w:color w:val="000000"/>
          <w:sz w:val="20"/>
          <w:szCs w:val="20"/>
          <w:shd w:val="clear" w:color="auto" w:fill="FFFFFF"/>
          <w:lang w:val="es-CR"/>
        </w:rPr>
        <w:t xml:space="preserve"> el caso en comento.</w:t>
      </w:r>
      <w:r w:rsidR="0018058B" w:rsidRPr="00D84A52">
        <w:rPr>
          <w:rFonts w:ascii="Verdana" w:eastAsiaTheme="minorEastAsia" w:hAnsi="Verdana"/>
          <w:bCs/>
          <w:color w:val="000000"/>
          <w:sz w:val="20"/>
          <w:szCs w:val="20"/>
          <w:shd w:val="clear" w:color="auto" w:fill="FFFFFF"/>
          <w:lang w:val="es-CR"/>
        </w:rPr>
        <w:t xml:space="preserve"> </w:t>
      </w:r>
      <w:r w:rsidR="007367B5">
        <w:rPr>
          <w:rFonts w:ascii="Verdana" w:eastAsiaTheme="minorEastAsia" w:hAnsi="Verdana" w:cs="Tahoma"/>
          <w:sz w:val="20"/>
          <w:szCs w:val="20"/>
          <w:lang w:val="es-CR"/>
        </w:rPr>
        <w:t xml:space="preserve">Dichas medidas eran, en consecuencia, improcedentes dado que había precluido la </w:t>
      </w:r>
      <w:r w:rsidR="00482AA0">
        <w:rPr>
          <w:rFonts w:ascii="Verdana" w:eastAsiaTheme="minorEastAsia" w:hAnsi="Verdana" w:cs="Tahoma"/>
          <w:sz w:val="20"/>
          <w:szCs w:val="20"/>
          <w:lang w:val="es-CR"/>
        </w:rPr>
        <w:t xml:space="preserve">facultad de la Corte </w:t>
      </w:r>
      <w:r w:rsidR="007367B5">
        <w:rPr>
          <w:rFonts w:ascii="Verdana" w:eastAsiaTheme="minorEastAsia" w:hAnsi="Verdana" w:cs="Tahoma"/>
          <w:sz w:val="20"/>
          <w:szCs w:val="20"/>
          <w:lang w:val="es-CR"/>
        </w:rPr>
        <w:t>de dictarlas</w:t>
      </w:r>
      <w:r w:rsidR="007367B5" w:rsidRPr="00D84A52">
        <w:rPr>
          <w:rFonts w:ascii="Verdana" w:eastAsiaTheme="minorEastAsia" w:hAnsi="Verdana" w:cs="Tahoma"/>
          <w:sz w:val="20"/>
          <w:szCs w:val="20"/>
          <w:lang w:val="es-CR"/>
        </w:rPr>
        <w:t>.</w:t>
      </w:r>
    </w:p>
    <w:p w14:paraId="0410F463" w14:textId="668B298F" w:rsidR="007F4149" w:rsidRDefault="00482AA0" w:rsidP="00D4486E">
      <w:pPr>
        <w:spacing w:after="100" w:afterAutospacing="1"/>
        <w:ind w:left="0"/>
        <w:rPr>
          <w:rFonts w:ascii="Verdana" w:eastAsiaTheme="minorEastAsia" w:hAnsi="Verdana" w:cs="Tahoma"/>
          <w:sz w:val="20"/>
          <w:szCs w:val="20"/>
          <w:lang w:val="es-CR"/>
        </w:rPr>
      </w:pPr>
      <w:r>
        <w:rPr>
          <w:rFonts w:ascii="Verdana" w:eastAsiaTheme="minorEastAsia" w:hAnsi="Verdana" w:cs="Tahoma"/>
          <w:sz w:val="20"/>
          <w:szCs w:val="20"/>
          <w:lang w:val="es-CR"/>
        </w:rPr>
        <w:t xml:space="preserve">Y por lo mismo, se reitera </w:t>
      </w:r>
      <w:r w:rsidR="007F4149">
        <w:rPr>
          <w:rFonts w:ascii="Verdana" w:eastAsiaTheme="minorEastAsia" w:hAnsi="Verdana" w:cs="Tahoma"/>
          <w:sz w:val="20"/>
          <w:szCs w:val="20"/>
          <w:lang w:val="es-CR"/>
        </w:rPr>
        <w:t>que la Resolución  debía haber invocado este motivo para no decretar las medidas provisionales solicitadas</w:t>
      </w:r>
      <w:r w:rsidR="003F5A78">
        <w:rPr>
          <w:rFonts w:ascii="Verdana" w:eastAsiaTheme="minorEastAsia" w:hAnsi="Verdana" w:cs="Tahoma"/>
          <w:sz w:val="20"/>
          <w:szCs w:val="20"/>
          <w:lang w:val="es-CR"/>
        </w:rPr>
        <w:t>.</w:t>
      </w:r>
      <w:r w:rsidR="007F4149">
        <w:rPr>
          <w:rFonts w:ascii="Verdana" w:eastAsiaTheme="minorEastAsia" w:hAnsi="Verdana" w:cs="Tahoma"/>
          <w:sz w:val="20"/>
          <w:szCs w:val="20"/>
          <w:lang w:val="es-CR"/>
        </w:rPr>
        <w:t xml:space="preserve"> </w:t>
      </w:r>
    </w:p>
    <w:p w14:paraId="197C1C6F" w14:textId="33718A60" w:rsidR="000559D1" w:rsidRDefault="00E32A56" w:rsidP="00D4486E">
      <w:pPr>
        <w:pStyle w:val="Prrafodelista"/>
        <w:tabs>
          <w:tab w:val="left" w:pos="0"/>
        </w:tabs>
        <w:autoSpaceDE w:val="0"/>
        <w:autoSpaceDN w:val="0"/>
        <w:adjustRightInd w:val="0"/>
        <w:spacing w:before="120" w:after="100" w:afterAutospacing="1"/>
        <w:ind w:left="0"/>
        <w:contextualSpacing w:val="0"/>
        <w:rPr>
          <w:rFonts w:ascii="Verdana" w:eastAsia="Calibri" w:hAnsi="Verdana" w:cs="Times New Roman"/>
          <w:sz w:val="20"/>
          <w:szCs w:val="20"/>
          <w:lang w:val="es-ES"/>
        </w:rPr>
      </w:pPr>
      <w:r>
        <w:rPr>
          <w:rFonts w:ascii="Verdana" w:eastAsia="Calibri" w:hAnsi="Verdana" w:cs="Times New Roman"/>
          <w:sz w:val="20"/>
          <w:szCs w:val="20"/>
          <w:lang w:val="es-ES"/>
        </w:rPr>
        <w:t>Evidentemente, tal argumento</w:t>
      </w:r>
      <w:r w:rsidR="00A74FE4" w:rsidRPr="00D84A52">
        <w:rPr>
          <w:rFonts w:ascii="Verdana" w:eastAsia="Calibri" w:hAnsi="Verdana" w:cs="Times New Roman"/>
          <w:sz w:val="20"/>
          <w:szCs w:val="20"/>
          <w:lang w:val="es-ES"/>
        </w:rPr>
        <w:t xml:space="preserve"> basta</w:t>
      </w:r>
      <w:r w:rsidR="00796335" w:rsidRPr="00D84A52">
        <w:rPr>
          <w:rFonts w:ascii="Verdana" w:eastAsia="Calibri" w:hAnsi="Verdana" w:cs="Times New Roman"/>
          <w:sz w:val="20"/>
          <w:szCs w:val="20"/>
          <w:lang w:val="es-ES"/>
        </w:rPr>
        <w:t>ría</w:t>
      </w:r>
      <w:r w:rsidR="00A74FE4" w:rsidRPr="00D84A52">
        <w:rPr>
          <w:rFonts w:ascii="Verdana" w:eastAsia="Calibri" w:hAnsi="Verdana" w:cs="Times New Roman"/>
          <w:sz w:val="20"/>
          <w:szCs w:val="20"/>
          <w:lang w:val="es-ES"/>
        </w:rPr>
        <w:t xml:space="preserve"> para</w:t>
      </w:r>
      <w:r w:rsidR="000559D1" w:rsidRPr="00D84A52">
        <w:rPr>
          <w:rFonts w:ascii="Verdana" w:eastAsia="Calibri" w:hAnsi="Verdana" w:cs="Times New Roman"/>
          <w:sz w:val="20"/>
          <w:szCs w:val="20"/>
          <w:lang w:val="es-ES"/>
        </w:rPr>
        <w:t xml:space="preserve"> justifica</w:t>
      </w:r>
      <w:r w:rsidR="00A74FE4" w:rsidRPr="00D84A52">
        <w:rPr>
          <w:rFonts w:ascii="Verdana" w:eastAsia="Calibri" w:hAnsi="Verdana" w:cs="Times New Roman"/>
          <w:sz w:val="20"/>
          <w:szCs w:val="20"/>
          <w:lang w:val="es-ES"/>
        </w:rPr>
        <w:t>r</w:t>
      </w:r>
      <w:r w:rsidR="000559D1" w:rsidRPr="00D84A52">
        <w:rPr>
          <w:rFonts w:ascii="Verdana" w:eastAsia="Calibri" w:hAnsi="Verdana" w:cs="Times New Roman"/>
          <w:sz w:val="20"/>
          <w:szCs w:val="20"/>
          <w:lang w:val="es-ES"/>
        </w:rPr>
        <w:t xml:space="preserve"> el presente disenso. Per</w:t>
      </w:r>
      <w:r w:rsidR="007E429B">
        <w:rPr>
          <w:rFonts w:ascii="Verdana" w:eastAsia="Calibri" w:hAnsi="Verdana" w:cs="Times New Roman"/>
          <w:sz w:val="20"/>
          <w:szCs w:val="20"/>
          <w:lang w:val="es-ES"/>
        </w:rPr>
        <w:t>o, existen otros que también aval</w:t>
      </w:r>
      <w:r w:rsidR="003F5A78">
        <w:rPr>
          <w:rFonts w:ascii="Verdana" w:eastAsia="Calibri" w:hAnsi="Verdana" w:cs="Times New Roman"/>
          <w:sz w:val="20"/>
          <w:szCs w:val="20"/>
          <w:lang w:val="es-ES"/>
        </w:rPr>
        <w:t>a</w:t>
      </w:r>
      <w:r w:rsidR="007E429B">
        <w:rPr>
          <w:rFonts w:ascii="Verdana" w:eastAsia="Calibri" w:hAnsi="Verdana" w:cs="Times New Roman"/>
          <w:sz w:val="20"/>
          <w:szCs w:val="20"/>
          <w:lang w:val="es-ES"/>
        </w:rPr>
        <w:t>n la disidencia</w:t>
      </w:r>
      <w:r w:rsidR="00013485" w:rsidRPr="00D84A52">
        <w:rPr>
          <w:rFonts w:ascii="Verdana" w:eastAsia="Calibri" w:hAnsi="Verdana" w:cs="Times New Roman"/>
          <w:sz w:val="20"/>
          <w:szCs w:val="20"/>
          <w:lang w:val="es-ES"/>
        </w:rPr>
        <w:t xml:space="preserve"> </w:t>
      </w:r>
      <w:r w:rsidR="005F1AAD" w:rsidRPr="00D84A52">
        <w:rPr>
          <w:rFonts w:ascii="Verdana" w:eastAsia="Calibri" w:hAnsi="Verdana" w:cs="Times New Roman"/>
          <w:sz w:val="20"/>
          <w:szCs w:val="20"/>
          <w:lang w:val="es-ES"/>
        </w:rPr>
        <w:t>y que se exponen seguidamente.</w:t>
      </w:r>
    </w:p>
    <w:p w14:paraId="495B9714" w14:textId="77777777" w:rsidR="00A45C93" w:rsidRPr="002C6A2F" w:rsidRDefault="00B62798" w:rsidP="00F66A1E">
      <w:pPr>
        <w:pStyle w:val="Prrafodelista"/>
        <w:numPr>
          <w:ilvl w:val="0"/>
          <w:numId w:val="12"/>
        </w:numPr>
        <w:spacing w:after="100" w:afterAutospacing="1"/>
        <w:ind w:left="360"/>
        <w:rPr>
          <w:rFonts w:ascii="Verdana" w:hAnsi="Verdana"/>
          <w:sz w:val="20"/>
          <w:szCs w:val="20"/>
          <w:lang w:val="es-ES"/>
        </w:rPr>
      </w:pPr>
      <w:r w:rsidRPr="00B960E6">
        <w:rPr>
          <w:rFonts w:ascii="Verdana" w:eastAsiaTheme="minorEastAsia" w:hAnsi="Verdana"/>
          <w:b/>
          <w:sz w:val="20"/>
          <w:szCs w:val="20"/>
          <w:lang w:val="es-PR"/>
        </w:rPr>
        <w:t>R</w:t>
      </w:r>
      <w:r w:rsidR="007F4149">
        <w:rPr>
          <w:rFonts w:ascii="Verdana" w:eastAsiaTheme="minorEastAsia" w:hAnsi="Verdana"/>
          <w:b/>
          <w:sz w:val="20"/>
          <w:szCs w:val="20"/>
          <w:lang w:val="es-PR"/>
        </w:rPr>
        <w:t>equisitos para otorgar medidas provisionale</w:t>
      </w:r>
      <w:r w:rsidR="002C6A2F">
        <w:rPr>
          <w:rFonts w:ascii="Verdana" w:eastAsiaTheme="minorEastAsia" w:hAnsi="Verdana"/>
          <w:b/>
          <w:sz w:val="20"/>
          <w:szCs w:val="20"/>
          <w:lang w:val="es-PR"/>
        </w:rPr>
        <w:t>s.</w:t>
      </w:r>
    </w:p>
    <w:p w14:paraId="59BFC26A" w14:textId="2CEA30F0" w:rsidR="007E429B" w:rsidRPr="002C6A2F" w:rsidRDefault="002C6A2F" w:rsidP="00D4486E">
      <w:pPr>
        <w:spacing w:after="100" w:afterAutospacing="1"/>
        <w:ind w:left="0"/>
        <w:rPr>
          <w:rFonts w:ascii="Verdana" w:hAnsi="Verdana"/>
          <w:i/>
          <w:sz w:val="20"/>
          <w:szCs w:val="20"/>
          <w:lang w:val="es-ES"/>
        </w:rPr>
      </w:pPr>
      <w:r>
        <w:rPr>
          <w:rFonts w:ascii="Verdana" w:hAnsi="Verdana" w:cs="Arial"/>
          <w:color w:val="000000"/>
          <w:sz w:val="20"/>
          <w:szCs w:val="20"/>
          <w:lang w:val="es-CR"/>
        </w:rPr>
        <w:t>L</w:t>
      </w:r>
      <w:r w:rsidR="00BF223D" w:rsidRPr="00DC0270">
        <w:rPr>
          <w:rFonts w:ascii="Verdana" w:hAnsi="Verdana" w:cs="Arial"/>
          <w:color w:val="000000"/>
          <w:sz w:val="20"/>
          <w:szCs w:val="20"/>
          <w:lang w:val="es-CR"/>
        </w:rPr>
        <w:t xml:space="preserve">a Resolución </w:t>
      </w:r>
      <w:r>
        <w:rPr>
          <w:rFonts w:ascii="Verdana" w:hAnsi="Verdana" w:cs="Arial"/>
          <w:color w:val="000000"/>
          <w:sz w:val="20"/>
          <w:szCs w:val="20"/>
          <w:lang w:val="es-CR"/>
        </w:rPr>
        <w:t xml:space="preserve">recuerda que </w:t>
      </w:r>
      <w:r w:rsidR="008D528B">
        <w:rPr>
          <w:rFonts w:ascii="Verdana" w:hAnsi="Verdana" w:cs="Arial"/>
          <w:color w:val="000000"/>
          <w:sz w:val="20"/>
          <w:szCs w:val="20"/>
          <w:lang w:val="es-CR"/>
        </w:rPr>
        <w:t xml:space="preserve">las </w:t>
      </w:r>
      <w:r>
        <w:rPr>
          <w:rFonts w:ascii="Verdana" w:hAnsi="Verdana"/>
          <w:sz w:val="20"/>
          <w:szCs w:val="20"/>
        </w:rPr>
        <w:t>medidas provisionales</w:t>
      </w:r>
      <w:r w:rsidRPr="00841CDF">
        <w:rPr>
          <w:rFonts w:ascii="Verdana" w:hAnsi="Verdana"/>
          <w:sz w:val="20"/>
          <w:szCs w:val="20"/>
        </w:rPr>
        <w:t xml:space="preserve"> </w:t>
      </w:r>
      <w:r>
        <w:rPr>
          <w:rFonts w:ascii="Verdana" w:hAnsi="Verdana"/>
          <w:sz w:val="20"/>
          <w:szCs w:val="20"/>
        </w:rPr>
        <w:t>“</w:t>
      </w:r>
      <w:r w:rsidRPr="002C6A2F">
        <w:rPr>
          <w:rFonts w:ascii="Verdana" w:hAnsi="Verdana"/>
          <w:i/>
          <w:sz w:val="20"/>
          <w:szCs w:val="20"/>
        </w:rPr>
        <w:t>deberán tener relación con el objeto del caso</w:t>
      </w:r>
      <w:r>
        <w:rPr>
          <w:rFonts w:ascii="Verdana" w:hAnsi="Verdana"/>
          <w:sz w:val="20"/>
          <w:szCs w:val="20"/>
        </w:rPr>
        <w:t>”</w:t>
      </w:r>
      <w:r>
        <w:rPr>
          <w:rStyle w:val="Refdenotaalpie"/>
          <w:rFonts w:ascii="Verdana" w:hAnsi="Verdana"/>
          <w:sz w:val="20"/>
          <w:szCs w:val="20"/>
        </w:rPr>
        <w:footnoteReference w:id="23"/>
      </w:r>
      <w:r w:rsidRPr="00DC0270">
        <w:rPr>
          <w:rFonts w:ascii="Verdana" w:hAnsi="Verdana" w:cs="Verdana"/>
          <w:sz w:val="20"/>
          <w:szCs w:val="20"/>
          <w:lang w:val="es-CR"/>
        </w:rPr>
        <w:t xml:space="preserve"> </w:t>
      </w:r>
      <w:r>
        <w:rPr>
          <w:rFonts w:ascii="Verdana" w:hAnsi="Verdana" w:cs="Verdana"/>
          <w:sz w:val="20"/>
          <w:szCs w:val="20"/>
          <w:lang w:val="es-CR"/>
        </w:rPr>
        <w:t>y que “</w:t>
      </w:r>
      <w:r w:rsidRPr="002C6A2F">
        <w:rPr>
          <w:rFonts w:ascii="Verdana" w:hAnsi="Verdana"/>
          <w:i/>
          <w:sz w:val="20"/>
          <w:szCs w:val="20"/>
        </w:rPr>
        <w:t>se aplican siempre y cuando se reúnan los requisitos básicos de extrema gravedad y urgencia y de la prevención de daños irreparables a las personas”</w:t>
      </w:r>
      <w:r w:rsidR="00592FDA">
        <w:rPr>
          <w:rStyle w:val="Refdenotaalpie"/>
          <w:rFonts w:ascii="Verdana" w:hAnsi="Verdana"/>
          <w:i/>
          <w:sz w:val="20"/>
          <w:szCs w:val="20"/>
        </w:rPr>
        <w:footnoteReference w:id="24"/>
      </w:r>
      <w:r w:rsidR="008D528B">
        <w:rPr>
          <w:rFonts w:ascii="Verdana" w:hAnsi="Verdana"/>
          <w:i/>
          <w:sz w:val="20"/>
          <w:szCs w:val="20"/>
        </w:rPr>
        <w:t>.</w:t>
      </w:r>
    </w:p>
    <w:p w14:paraId="2C9248C8" w14:textId="77777777" w:rsidR="00383F2C" w:rsidRDefault="002C6A2F" w:rsidP="002C6A2F">
      <w:pPr>
        <w:pStyle w:val="Default"/>
        <w:spacing w:after="100" w:afterAutospacing="1" w:line="276" w:lineRule="auto"/>
        <w:jc w:val="both"/>
        <w:rPr>
          <w:rFonts w:ascii="Verdana" w:hAnsi="Verdana" w:cs="Verdana"/>
          <w:i/>
          <w:sz w:val="20"/>
          <w:szCs w:val="20"/>
        </w:rPr>
      </w:pPr>
      <w:r>
        <w:rPr>
          <w:rFonts w:ascii="Verdana" w:hAnsi="Verdana" w:cs="Arial"/>
          <w:sz w:val="20"/>
          <w:szCs w:val="20"/>
        </w:rPr>
        <w:t>Empero, no analiza si ello acontece en el cas</w:t>
      </w:r>
      <w:r w:rsidR="00482AA0">
        <w:rPr>
          <w:rFonts w:ascii="Verdana" w:hAnsi="Verdana" w:cs="Arial"/>
          <w:sz w:val="20"/>
          <w:szCs w:val="20"/>
        </w:rPr>
        <w:t>o en comento.</w:t>
      </w:r>
      <w:r w:rsidR="006702D9">
        <w:rPr>
          <w:rFonts w:ascii="Verdana" w:hAnsi="Verdana" w:cs="Verdana"/>
          <w:sz w:val="20"/>
          <w:szCs w:val="20"/>
        </w:rPr>
        <w:t xml:space="preserve"> </w:t>
      </w:r>
    </w:p>
    <w:p w14:paraId="02FEE632" w14:textId="77777777" w:rsidR="002C6A2F" w:rsidRDefault="00786775" w:rsidP="002C6A2F">
      <w:pPr>
        <w:pStyle w:val="Default"/>
        <w:spacing w:after="100" w:afterAutospacing="1" w:line="276" w:lineRule="auto"/>
        <w:jc w:val="both"/>
        <w:rPr>
          <w:rFonts w:ascii="Verdana" w:hAnsi="Verdana" w:cs="Verdana"/>
          <w:sz w:val="20"/>
          <w:szCs w:val="20"/>
        </w:rPr>
      </w:pPr>
      <w:r>
        <w:rPr>
          <w:rFonts w:ascii="Verdana" w:hAnsi="Verdana" w:cs="Verdana"/>
          <w:sz w:val="20"/>
          <w:szCs w:val="20"/>
        </w:rPr>
        <w:t>Sobre el particular, procede señ</w:t>
      </w:r>
      <w:r w:rsidR="00E32A56">
        <w:rPr>
          <w:rFonts w:ascii="Verdana" w:hAnsi="Verdana" w:cs="Verdana"/>
          <w:sz w:val="20"/>
          <w:szCs w:val="20"/>
        </w:rPr>
        <w:t xml:space="preserve">alar </w:t>
      </w:r>
      <w:r w:rsidR="002C6A2F">
        <w:rPr>
          <w:rFonts w:ascii="Verdana" w:hAnsi="Verdana" w:cs="Verdana"/>
          <w:sz w:val="20"/>
          <w:szCs w:val="20"/>
        </w:rPr>
        <w:t>que si bien la información sum</w:t>
      </w:r>
      <w:r w:rsidR="00F87793">
        <w:rPr>
          <w:rFonts w:ascii="Verdana" w:hAnsi="Verdana" w:cs="Verdana"/>
          <w:sz w:val="20"/>
          <w:szCs w:val="20"/>
        </w:rPr>
        <w:t>inistrada</w:t>
      </w:r>
      <w:r w:rsidR="00946598">
        <w:rPr>
          <w:rFonts w:ascii="Verdana" w:hAnsi="Verdana" w:cs="Verdana"/>
          <w:sz w:val="20"/>
          <w:szCs w:val="20"/>
        </w:rPr>
        <w:t xml:space="preserve"> en autos</w:t>
      </w:r>
      <w:r w:rsidR="00F87793">
        <w:rPr>
          <w:rStyle w:val="Refdenotaalpie"/>
          <w:rFonts w:ascii="Verdana" w:hAnsi="Verdana" w:cs="Verdana"/>
          <w:sz w:val="20"/>
          <w:szCs w:val="20"/>
        </w:rPr>
        <w:footnoteReference w:id="25"/>
      </w:r>
      <w:r w:rsidR="00F87793">
        <w:rPr>
          <w:rFonts w:ascii="Verdana" w:hAnsi="Verdana" w:cs="Verdana"/>
          <w:sz w:val="20"/>
          <w:szCs w:val="20"/>
        </w:rPr>
        <w:t xml:space="preserve"> </w:t>
      </w:r>
      <w:r w:rsidR="002C6A2F">
        <w:rPr>
          <w:rFonts w:ascii="Verdana" w:hAnsi="Verdana" w:cs="Verdana"/>
          <w:sz w:val="20"/>
          <w:szCs w:val="20"/>
        </w:rPr>
        <w:t>no hace referencia a los presupuestos procesales para dictar medidas provisionales</w:t>
      </w:r>
      <w:r w:rsidR="00F87793">
        <w:rPr>
          <w:rStyle w:val="Refdenotaalpie"/>
          <w:rFonts w:ascii="Verdana" w:hAnsi="Verdana" w:cs="Verdana"/>
          <w:sz w:val="20"/>
          <w:szCs w:val="20"/>
        </w:rPr>
        <w:footnoteReference w:id="26"/>
      </w:r>
      <w:r w:rsidR="002C6A2F">
        <w:rPr>
          <w:rFonts w:ascii="Verdana" w:hAnsi="Verdana" w:cs="Verdana"/>
          <w:sz w:val="20"/>
          <w:szCs w:val="20"/>
        </w:rPr>
        <w:t xml:space="preserve">, </w:t>
      </w:r>
      <w:r w:rsidR="00BA0596">
        <w:rPr>
          <w:rFonts w:ascii="Verdana" w:hAnsi="Verdana" w:cs="Verdana"/>
          <w:sz w:val="20"/>
          <w:szCs w:val="20"/>
        </w:rPr>
        <w:t>el</w:t>
      </w:r>
      <w:r w:rsidR="00946598">
        <w:rPr>
          <w:rFonts w:ascii="Verdana" w:hAnsi="Verdana" w:cs="Verdana"/>
          <w:sz w:val="20"/>
          <w:szCs w:val="20"/>
        </w:rPr>
        <w:t xml:space="preserve">los no existían al momento de la Petición </w:t>
      </w:r>
      <w:r w:rsidR="00BA0596">
        <w:rPr>
          <w:rFonts w:ascii="Verdana" w:hAnsi="Verdana" w:cs="Verdana"/>
          <w:sz w:val="20"/>
          <w:szCs w:val="20"/>
        </w:rPr>
        <w:t>como</w:t>
      </w:r>
      <w:r w:rsidR="00E32A56">
        <w:rPr>
          <w:rFonts w:ascii="Verdana" w:hAnsi="Verdana" w:cs="Verdana"/>
          <w:sz w:val="20"/>
          <w:szCs w:val="20"/>
        </w:rPr>
        <w:t xml:space="preserve"> tampoco en la actualidad, según </w:t>
      </w:r>
      <w:r w:rsidR="00BA0596">
        <w:rPr>
          <w:rFonts w:ascii="Verdana" w:hAnsi="Verdana" w:cs="Verdana"/>
          <w:sz w:val="20"/>
          <w:szCs w:val="20"/>
        </w:rPr>
        <w:t>se aborda a continuación</w:t>
      </w:r>
      <w:r>
        <w:rPr>
          <w:rFonts w:ascii="Verdana" w:hAnsi="Verdana" w:cs="Verdana"/>
          <w:sz w:val="20"/>
          <w:szCs w:val="20"/>
        </w:rPr>
        <w:t>.</w:t>
      </w:r>
    </w:p>
    <w:p w14:paraId="7C65BD07" w14:textId="77777777" w:rsidR="00A9614D" w:rsidRPr="002C6A2F" w:rsidRDefault="00A9614D" w:rsidP="002C6A2F">
      <w:pPr>
        <w:pStyle w:val="Default"/>
        <w:spacing w:after="100" w:afterAutospacing="1" w:line="276" w:lineRule="auto"/>
        <w:jc w:val="both"/>
        <w:rPr>
          <w:rFonts w:ascii="Verdana" w:hAnsi="Verdana" w:cs="Verdana"/>
          <w:sz w:val="20"/>
          <w:szCs w:val="20"/>
        </w:rPr>
      </w:pPr>
    </w:p>
    <w:p w14:paraId="07D1AEDC" w14:textId="77777777" w:rsidR="006C7D2A" w:rsidRDefault="006C7D2A" w:rsidP="00F66A1E">
      <w:pPr>
        <w:pStyle w:val="Default"/>
        <w:numPr>
          <w:ilvl w:val="0"/>
          <w:numId w:val="14"/>
        </w:numPr>
        <w:spacing w:line="276" w:lineRule="auto"/>
        <w:ind w:left="360"/>
        <w:jc w:val="both"/>
        <w:rPr>
          <w:rFonts w:ascii="Verdana" w:eastAsiaTheme="minorHAnsi" w:hAnsi="Verdana" w:cs="Verdana"/>
          <w:b/>
          <w:sz w:val="20"/>
          <w:szCs w:val="20"/>
          <w:lang w:val="es-CL" w:eastAsia="en-US"/>
        </w:rPr>
      </w:pPr>
      <w:r w:rsidRPr="006C7D2A">
        <w:rPr>
          <w:rFonts w:ascii="Verdana" w:eastAsiaTheme="minorHAnsi" w:hAnsi="Verdana" w:cs="Verdana"/>
          <w:b/>
          <w:sz w:val="20"/>
          <w:szCs w:val="20"/>
          <w:lang w:val="es-CL" w:eastAsia="en-US"/>
        </w:rPr>
        <w:t>Vinculación con el objeto del caso.</w:t>
      </w:r>
    </w:p>
    <w:p w14:paraId="122DE539" w14:textId="77777777" w:rsidR="005B4AC7" w:rsidRDefault="005B4AC7" w:rsidP="00D4486E">
      <w:pPr>
        <w:pStyle w:val="Default"/>
        <w:spacing w:line="276" w:lineRule="auto"/>
        <w:jc w:val="both"/>
        <w:rPr>
          <w:rFonts w:ascii="Verdana" w:eastAsiaTheme="minorHAnsi" w:hAnsi="Verdana" w:cs="Verdana"/>
          <w:b/>
          <w:sz w:val="20"/>
          <w:szCs w:val="20"/>
          <w:lang w:val="es-CL" w:eastAsia="en-US"/>
        </w:rPr>
      </w:pPr>
    </w:p>
    <w:p w14:paraId="05BF8821" w14:textId="25CDB231" w:rsidR="00AC457F" w:rsidRDefault="00B827EA" w:rsidP="009831C8">
      <w:pPr>
        <w:spacing w:after="100" w:afterAutospacing="1"/>
        <w:ind w:left="0"/>
        <w:rPr>
          <w:rFonts w:ascii="Verdana" w:hAnsi="Verdana" w:cs="Verdana"/>
          <w:sz w:val="20"/>
          <w:szCs w:val="20"/>
        </w:rPr>
      </w:pPr>
      <w:r>
        <w:rPr>
          <w:rFonts w:ascii="Verdana" w:hAnsi="Verdana" w:cs="Verdana"/>
          <w:sz w:val="20"/>
          <w:szCs w:val="20"/>
        </w:rPr>
        <w:t>La Petición</w:t>
      </w:r>
      <w:r w:rsidR="00545BFD">
        <w:rPr>
          <w:rFonts w:ascii="Verdana" w:hAnsi="Verdana" w:cs="Verdana"/>
          <w:sz w:val="20"/>
          <w:szCs w:val="20"/>
        </w:rPr>
        <w:t xml:space="preserve"> se elevó</w:t>
      </w:r>
      <w:r w:rsidR="00946598">
        <w:rPr>
          <w:rFonts w:ascii="Verdana" w:hAnsi="Verdana" w:cs="Verdana"/>
          <w:sz w:val="20"/>
          <w:szCs w:val="20"/>
        </w:rPr>
        <w:t xml:space="preserve"> ante el</w:t>
      </w:r>
      <w:r w:rsidR="00545BFD">
        <w:rPr>
          <w:rFonts w:ascii="Verdana" w:hAnsi="Verdana" w:cs="Verdana"/>
          <w:sz w:val="20"/>
          <w:szCs w:val="20"/>
        </w:rPr>
        <w:t xml:space="preserve"> </w:t>
      </w:r>
      <w:r w:rsidR="00946598" w:rsidRPr="006F1C7D">
        <w:rPr>
          <w:rFonts w:ascii="Verdana" w:hAnsi="Verdana" w:cs="Arial"/>
          <w:sz w:val="20"/>
          <w:szCs w:val="20"/>
          <w:lang w:val="es-MX"/>
        </w:rPr>
        <w:t>“</w:t>
      </w:r>
      <w:r w:rsidR="00946598" w:rsidRPr="00946598">
        <w:rPr>
          <w:rFonts w:ascii="Verdana" w:hAnsi="Verdana" w:cs="Arial"/>
          <w:i/>
          <w:sz w:val="20"/>
          <w:szCs w:val="20"/>
          <w:lang w:val="es-MX"/>
        </w:rPr>
        <w:t>riesgo de daño irreparable de extrema gravedad y urgencia de que el derecho de acceso a la justicia de las víctimas de la[s] Masacre[s] de El Mozote y lugares aledaños y de las víctimas de violaciones a derechos humanos del conflicto armado en su conjunto sea violado</w:t>
      </w:r>
      <w:r w:rsidR="00946598" w:rsidRPr="006F1C7D">
        <w:rPr>
          <w:rFonts w:ascii="Verdana" w:hAnsi="Verdana" w:cs="Arial"/>
          <w:sz w:val="20"/>
          <w:szCs w:val="20"/>
          <w:lang w:val="es-MX"/>
        </w:rPr>
        <w:t>”</w:t>
      </w:r>
      <w:r w:rsidR="00946598">
        <w:rPr>
          <w:rStyle w:val="Refdenotaalpie"/>
          <w:rFonts w:ascii="Verdana" w:hAnsi="Verdana" w:cs="Arial"/>
          <w:sz w:val="20"/>
          <w:szCs w:val="20"/>
          <w:lang w:val="es-MX"/>
        </w:rPr>
        <w:footnoteReference w:id="27"/>
      </w:r>
      <w:r w:rsidR="00946598" w:rsidRPr="006F1C7D">
        <w:rPr>
          <w:rFonts w:ascii="Verdana" w:hAnsi="Verdana" w:cs="Arial"/>
          <w:sz w:val="20"/>
          <w:szCs w:val="20"/>
          <w:lang w:val="es-MX"/>
        </w:rPr>
        <w:t xml:space="preserve">, </w:t>
      </w:r>
      <w:r w:rsidR="00946598">
        <w:rPr>
          <w:rFonts w:ascii="Verdana" w:hAnsi="Verdana" w:cs="Verdana"/>
          <w:sz w:val="20"/>
          <w:szCs w:val="20"/>
        </w:rPr>
        <w:t>si se aprobab</w:t>
      </w:r>
      <w:r w:rsidR="00545BFD">
        <w:rPr>
          <w:rFonts w:ascii="Verdana" w:hAnsi="Verdana" w:cs="Verdana"/>
          <w:sz w:val="20"/>
          <w:szCs w:val="20"/>
        </w:rPr>
        <w:t>a el proyecto de “</w:t>
      </w:r>
      <w:r w:rsidR="00545BFD" w:rsidRPr="00545BFD">
        <w:rPr>
          <w:rFonts w:ascii="Verdana" w:hAnsi="Verdana" w:cs="Verdana"/>
          <w:i/>
          <w:sz w:val="20"/>
          <w:szCs w:val="20"/>
        </w:rPr>
        <w:t>Ley Especial</w:t>
      </w:r>
      <w:r w:rsidR="00AC457F" w:rsidRPr="00545BFD">
        <w:rPr>
          <w:rFonts w:ascii="Verdana" w:hAnsi="Verdana" w:cs="Verdana"/>
          <w:i/>
          <w:sz w:val="20"/>
          <w:szCs w:val="20"/>
        </w:rPr>
        <w:t xml:space="preserve"> </w:t>
      </w:r>
      <w:r w:rsidR="00545BFD" w:rsidRPr="00545BFD">
        <w:rPr>
          <w:rFonts w:ascii="Verdana" w:hAnsi="Verdana" w:cs="Verdana"/>
          <w:i/>
          <w:sz w:val="20"/>
          <w:szCs w:val="20"/>
        </w:rPr>
        <w:t>de Justicia Transicional y Restaurativa para la Reconciliación Nacional</w:t>
      </w:r>
      <w:r w:rsidR="00545BFD">
        <w:rPr>
          <w:rFonts w:ascii="Verdana" w:hAnsi="Verdana" w:cs="Verdana"/>
          <w:sz w:val="20"/>
          <w:szCs w:val="20"/>
        </w:rPr>
        <w:t>”</w:t>
      </w:r>
      <w:r w:rsidR="008D528B">
        <w:rPr>
          <w:rFonts w:ascii="Verdana" w:hAnsi="Verdana" w:cs="Verdana"/>
          <w:sz w:val="20"/>
          <w:szCs w:val="20"/>
        </w:rPr>
        <w:t xml:space="preserve"> </w:t>
      </w:r>
      <w:r w:rsidR="008D528B" w:rsidRPr="00017DB6">
        <w:rPr>
          <w:rFonts w:ascii="Verdana" w:hAnsi="Verdana"/>
          <w:i/>
          <w:sz w:val="20"/>
          <w:szCs w:val="20"/>
        </w:rPr>
        <w:t>(en adelante también “iniciativa de Ley de Reconciliación Nacional”)</w:t>
      </w:r>
      <w:r w:rsidR="002000EC">
        <w:rPr>
          <w:rFonts w:ascii="Verdana" w:hAnsi="Verdana" w:cs="Verdana"/>
          <w:sz w:val="20"/>
          <w:szCs w:val="20"/>
        </w:rPr>
        <w:t xml:space="preserve">, </w:t>
      </w:r>
      <w:r w:rsidR="00017DB6" w:rsidRPr="00017DB6">
        <w:rPr>
          <w:rFonts w:ascii="Verdana" w:hAnsi="Verdana" w:cs="Arial"/>
          <w:i/>
          <w:sz w:val="20"/>
          <w:szCs w:val="20"/>
          <w:lang w:val="es-MX"/>
        </w:rPr>
        <w:t xml:space="preserve">debido a </w:t>
      </w:r>
      <w:r w:rsidR="008D528B">
        <w:rPr>
          <w:rFonts w:ascii="Verdana" w:hAnsi="Verdana" w:cs="Arial"/>
          <w:i/>
          <w:sz w:val="20"/>
          <w:szCs w:val="20"/>
          <w:lang w:val="es-MX"/>
        </w:rPr>
        <w:t>su</w:t>
      </w:r>
      <w:r w:rsidR="00017DB6" w:rsidRPr="00017DB6">
        <w:rPr>
          <w:rFonts w:ascii="Verdana" w:hAnsi="Verdana" w:cs="Arial"/>
          <w:i/>
          <w:sz w:val="20"/>
          <w:szCs w:val="20"/>
          <w:lang w:val="es-MX"/>
        </w:rPr>
        <w:t xml:space="preserve"> “inminente aprobación” </w:t>
      </w:r>
      <w:r w:rsidR="00017DB6">
        <w:rPr>
          <w:rFonts w:ascii="Verdana" w:hAnsi="Verdana"/>
          <w:i/>
          <w:sz w:val="20"/>
          <w:szCs w:val="20"/>
        </w:rPr>
        <w:t xml:space="preserve">, </w:t>
      </w:r>
      <w:r w:rsidR="002000EC">
        <w:rPr>
          <w:rFonts w:ascii="Verdana" w:hAnsi="Verdana" w:cs="Verdana"/>
          <w:sz w:val="20"/>
          <w:szCs w:val="20"/>
        </w:rPr>
        <w:t>razón por la que</w:t>
      </w:r>
      <w:r w:rsidR="002000EC" w:rsidRPr="002000EC">
        <w:rPr>
          <w:rFonts w:ascii="Verdana" w:hAnsi="Verdana"/>
          <w:sz w:val="20"/>
          <w:szCs w:val="20"/>
        </w:rPr>
        <w:t xml:space="preserve"> </w:t>
      </w:r>
      <w:r w:rsidR="00017DB6">
        <w:rPr>
          <w:rFonts w:ascii="Verdana" w:hAnsi="Verdana"/>
          <w:sz w:val="20"/>
          <w:szCs w:val="20"/>
        </w:rPr>
        <w:t xml:space="preserve">solicita </w:t>
      </w:r>
      <w:r w:rsidR="002000EC" w:rsidRPr="00C67E1D">
        <w:rPr>
          <w:rFonts w:ascii="Verdana" w:hAnsi="Verdana"/>
          <w:sz w:val="20"/>
          <w:szCs w:val="20"/>
        </w:rPr>
        <w:t>que</w:t>
      </w:r>
      <w:r w:rsidR="002000EC" w:rsidRPr="00C67E1D">
        <w:rPr>
          <w:rFonts w:ascii="Verdana" w:hAnsi="Verdana" w:cs="Verdana"/>
          <w:sz w:val="20"/>
          <w:szCs w:val="20"/>
        </w:rPr>
        <w:t xml:space="preserve"> se “</w:t>
      </w:r>
      <w:r w:rsidR="00017DB6" w:rsidRPr="00017DB6">
        <w:rPr>
          <w:rFonts w:ascii="Verdana" w:hAnsi="Verdana"/>
          <w:i/>
          <w:sz w:val="20"/>
          <w:szCs w:val="20"/>
        </w:rPr>
        <w:t>ordene al Estado de El Salvador interrumpir el trámite legislativo de la iniciativa de Ley de Reconciliación Nacional en comento y se abstenga de aprobar cualquier normativa similar</w:t>
      </w:r>
      <w:r w:rsidR="00017DB6">
        <w:rPr>
          <w:rFonts w:ascii="Verdana" w:hAnsi="Verdana"/>
          <w:sz w:val="20"/>
          <w:szCs w:val="20"/>
        </w:rPr>
        <w:t>”</w:t>
      </w:r>
      <w:r w:rsidR="002000EC">
        <w:rPr>
          <w:rFonts w:ascii="Verdana" w:hAnsi="Verdana" w:cs="Verdana"/>
          <w:i/>
          <w:sz w:val="20"/>
          <w:szCs w:val="20"/>
        </w:rPr>
        <w:t>”</w:t>
      </w:r>
      <w:r w:rsidR="00946598">
        <w:rPr>
          <w:rStyle w:val="Refdenotaalpie"/>
          <w:rFonts w:ascii="Verdana" w:hAnsi="Verdana" w:cs="Verdana"/>
          <w:i/>
          <w:sz w:val="20"/>
          <w:szCs w:val="20"/>
        </w:rPr>
        <w:footnoteReference w:id="28"/>
      </w:r>
      <w:r w:rsidR="00482AA0">
        <w:rPr>
          <w:rFonts w:ascii="Verdana" w:hAnsi="Verdana" w:cs="Verdana"/>
          <w:sz w:val="20"/>
          <w:szCs w:val="20"/>
        </w:rPr>
        <w:t xml:space="preserve">. </w:t>
      </w:r>
    </w:p>
    <w:p w14:paraId="1FD608B5" w14:textId="77777777" w:rsidR="00C67E1D" w:rsidRDefault="00B827EA" w:rsidP="00AC457F">
      <w:pPr>
        <w:spacing w:after="100" w:afterAutospacing="1"/>
        <w:ind w:left="0"/>
        <w:rPr>
          <w:rFonts w:ascii="Verdana" w:hAnsi="Verdana" w:cs="Verdana"/>
          <w:sz w:val="20"/>
          <w:szCs w:val="20"/>
        </w:rPr>
      </w:pPr>
      <w:r>
        <w:rPr>
          <w:rFonts w:ascii="Verdana" w:hAnsi="Verdana" w:cs="Verdana"/>
          <w:sz w:val="20"/>
          <w:szCs w:val="20"/>
        </w:rPr>
        <w:t>Sin embargo, la P</w:t>
      </w:r>
      <w:r w:rsidR="00545BFD">
        <w:rPr>
          <w:rFonts w:ascii="Verdana" w:hAnsi="Verdana" w:cs="Verdana"/>
          <w:sz w:val="20"/>
          <w:szCs w:val="20"/>
        </w:rPr>
        <w:t>etición nada tenía qu</w:t>
      </w:r>
      <w:r w:rsidR="002000EC">
        <w:rPr>
          <w:rFonts w:ascii="Verdana" w:hAnsi="Verdana" w:cs="Verdana"/>
          <w:sz w:val="20"/>
          <w:szCs w:val="20"/>
        </w:rPr>
        <w:t xml:space="preserve">e ver con el caso al que invoca, </w:t>
      </w:r>
      <w:r w:rsidR="00017DB6">
        <w:rPr>
          <w:rFonts w:ascii="Verdana" w:hAnsi="Verdana" w:cs="Verdana"/>
          <w:sz w:val="20"/>
          <w:szCs w:val="20"/>
        </w:rPr>
        <w:t>cual es, “</w:t>
      </w:r>
      <w:r w:rsidR="00017DB6" w:rsidRPr="00017DB6">
        <w:rPr>
          <w:rFonts w:ascii="Verdana" w:hAnsi="Verdana" w:cs="Verdana"/>
          <w:i/>
          <w:sz w:val="20"/>
          <w:szCs w:val="20"/>
        </w:rPr>
        <w:t>Caso Masacres de El Mozote y Lugares Aledaños Vs. El Salvador</w:t>
      </w:r>
      <w:r w:rsidR="00017DB6">
        <w:rPr>
          <w:rFonts w:ascii="Verdana" w:hAnsi="Verdana" w:cs="Verdana"/>
          <w:sz w:val="20"/>
          <w:szCs w:val="20"/>
        </w:rPr>
        <w:t xml:space="preserve">”, </w:t>
      </w:r>
      <w:r w:rsidR="002000EC">
        <w:rPr>
          <w:rFonts w:ascii="Verdana" w:hAnsi="Verdana" w:cs="Verdana"/>
          <w:sz w:val="20"/>
          <w:szCs w:val="20"/>
        </w:rPr>
        <w:t>en el que se había dictado la</w:t>
      </w:r>
      <w:r w:rsidR="009831C8">
        <w:rPr>
          <w:rFonts w:ascii="Verdana" w:hAnsi="Verdana" w:cs="Verdana"/>
          <w:sz w:val="20"/>
          <w:szCs w:val="20"/>
        </w:rPr>
        <w:t xml:space="preserve"> Sentencia, la que, además, ya </w:t>
      </w:r>
      <w:r w:rsidR="002000EC">
        <w:rPr>
          <w:rFonts w:ascii="Verdana" w:hAnsi="Verdana" w:cs="Verdana"/>
          <w:sz w:val="20"/>
          <w:szCs w:val="20"/>
        </w:rPr>
        <w:t xml:space="preserve">se </w:t>
      </w:r>
      <w:r w:rsidR="009831C8">
        <w:rPr>
          <w:rFonts w:ascii="Verdana" w:hAnsi="Verdana" w:cs="Verdana"/>
          <w:sz w:val="20"/>
          <w:szCs w:val="20"/>
        </w:rPr>
        <w:t xml:space="preserve">le </w:t>
      </w:r>
      <w:r w:rsidR="002000EC">
        <w:rPr>
          <w:rFonts w:ascii="Verdana" w:hAnsi="Verdana" w:cs="Verdana"/>
          <w:sz w:val="20"/>
          <w:szCs w:val="20"/>
        </w:rPr>
        <w:t>ha dado cumplimiento.</w:t>
      </w:r>
      <w:r w:rsidR="005B4AC7">
        <w:rPr>
          <w:rFonts w:ascii="Verdana" w:hAnsi="Verdana" w:cs="Verdana"/>
          <w:sz w:val="20"/>
          <w:szCs w:val="20"/>
        </w:rPr>
        <w:t xml:space="preserve"> </w:t>
      </w:r>
    </w:p>
    <w:p w14:paraId="7118D81D" w14:textId="77777777" w:rsidR="00C67E1D" w:rsidRDefault="005B4AC7" w:rsidP="00D4486E">
      <w:pPr>
        <w:spacing w:after="100" w:afterAutospacing="1"/>
        <w:ind w:left="0"/>
        <w:rPr>
          <w:rFonts w:ascii="Verdana" w:hAnsi="Verdana"/>
          <w:sz w:val="20"/>
          <w:szCs w:val="20"/>
        </w:rPr>
      </w:pPr>
      <w:r>
        <w:rPr>
          <w:rFonts w:ascii="Verdana" w:hAnsi="Verdana" w:cs="Verdana"/>
          <w:sz w:val="20"/>
          <w:szCs w:val="20"/>
        </w:rPr>
        <w:t>En efecto, en la Sentencia correspondiente se ordenó</w:t>
      </w:r>
      <w:r w:rsidRPr="005B4AC7">
        <w:rPr>
          <w:rFonts w:ascii="Verdana" w:hAnsi="Verdana"/>
          <w:sz w:val="20"/>
          <w:szCs w:val="20"/>
          <w:lang w:val="es-CR"/>
        </w:rPr>
        <w:t xml:space="preserve"> </w:t>
      </w:r>
      <w:r w:rsidRPr="00D84A52">
        <w:rPr>
          <w:rFonts w:ascii="Verdana" w:hAnsi="Verdana"/>
          <w:sz w:val="20"/>
          <w:szCs w:val="20"/>
          <w:lang w:val="es-CR"/>
        </w:rPr>
        <w:t>que</w:t>
      </w:r>
      <w:r w:rsidRPr="00D84A52">
        <w:rPr>
          <w:rFonts w:ascii="Verdana" w:hAnsi="Verdana"/>
          <w:sz w:val="20"/>
          <w:szCs w:val="20"/>
        </w:rPr>
        <w:t>“(</w:t>
      </w:r>
      <w:r w:rsidRPr="00D84A52">
        <w:rPr>
          <w:rFonts w:ascii="Verdana" w:hAnsi="Verdana"/>
          <w:i/>
          <w:sz w:val="20"/>
          <w:szCs w:val="20"/>
        </w:rPr>
        <w:t>e)l Estado debe asegurar que la Ley de Amnistía General para la Consolidación de la Paz no vuelva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 de conformidad con lo establecido en el párrafo 318 de la presente Sentencia</w:t>
      </w:r>
      <w:r w:rsidRPr="00D84A52">
        <w:rPr>
          <w:rFonts w:ascii="Verdana" w:hAnsi="Verdana"/>
          <w:sz w:val="20"/>
          <w:szCs w:val="20"/>
        </w:rPr>
        <w:t>”</w:t>
      </w:r>
      <w:r w:rsidRPr="00D84A52">
        <w:rPr>
          <w:rStyle w:val="Refdenotaalpie"/>
          <w:rFonts w:ascii="Verdana" w:hAnsi="Verdana"/>
          <w:sz w:val="20"/>
          <w:szCs w:val="20"/>
        </w:rPr>
        <w:footnoteReference w:id="29"/>
      </w:r>
      <w:r w:rsidRPr="00D84A52">
        <w:rPr>
          <w:rFonts w:ascii="Verdana" w:hAnsi="Verdana"/>
          <w:sz w:val="20"/>
          <w:szCs w:val="20"/>
        </w:rPr>
        <w:t>.</w:t>
      </w:r>
    </w:p>
    <w:p w14:paraId="6127B640" w14:textId="5F39C9E1" w:rsidR="005B4AC7" w:rsidRDefault="005B4AC7" w:rsidP="006F3456">
      <w:pPr>
        <w:spacing w:after="100" w:afterAutospacing="1"/>
        <w:ind w:left="0"/>
        <w:rPr>
          <w:rFonts w:ascii="Verdana" w:hAnsi="Verdana"/>
          <w:sz w:val="20"/>
          <w:szCs w:val="20"/>
          <w:lang w:val="es-CR"/>
        </w:rPr>
      </w:pPr>
      <w:r w:rsidRPr="00D84A52">
        <w:rPr>
          <w:rFonts w:ascii="Verdana" w:hAnsi="Verdana"/>
          <w:sz w:val="20"/>
          <w:szCs w:val="20"/>
        </w:rPr>
        <w:t>Y resulta que ese dispositivo fue cumplido p</w:t>
      </w:r>
      <w:r w:rsidR="00017DB6">
        <w:rPr>
          <w:rFonts w:ascii="Verdana" w:hAnsi="Verdana"/>
          <w:sz w:val="20"/>
          <w:szCs w:val="20"/>
        </w:rPr>
        <w:t xml:space="preserve">or El Salvador, como lo reconoció </w:t>
      </w:r>
      <w:r w:rsidRPr="00D84A52">
        <w:rPr>
          <w:rFonts w:ascii="Verdana" w:hAnsi="Verdana"/>
          <w:sz w:val="20"/>
          <w:szCs w:val="20"/>
        </w:rPr>
        <w:t>la Corte</w:t>
      </w:r>
      <w:r w:rsidR="00C67E1D">
        <w:rPr>
          <w:rFonts w:ascii="Verdana" w:hAnsi="Verdana"/>
          <w:sz w:val="20"/>
          <w:szCs w:val="20"/>
        </w:rPr>
        <w:t xml:space="preserve"> al</w:t>
      </w:r>
      <w:r w:rsidR="006F3456">
        <w:rPr>
          <w:rFonts w:ascii="Verdana" w:hAnsi="Verdana"/>
          <w:sz w:val="20"/>
          <w:szCs w:val="20"/>
        </w:rPr>
        <w:t xml:space="preserve"> señalar que </w:t>
      </w:r>
      <w:r w:rsidR="00C67E1D">
        <w:rPr>
          <w:rFonts w:ascii="Verdana" w:hAnsi="Verdana"/>
          <w:sz w:val="20"/>
          <w:szCs w:val="20"/>
        </w:rPr>
        <w:t xml:space="preserve"> </w:t>
      </w:r>
      <w:r w:rsidRPr="00D84A52">
        <w:rPr>
          <w:rFonts w:ascii="Verdana" w:hAnsi="Verdana"/>
          <w:sz w:val="20"/>
          <w:szCs w:val="20"/>
          <w:lang w:val="es-CR"/>
        </w:rPr>
        <w:t>“</w:t>
      </w:r>
      <w:r w:rsidR="006F3456" w:rsidRPr="006F3456">
        <w:rPr>
          <w:rFonts w:ascii="Verdana" w:hAnsi="Verdana" w:cs="Arial"/>
          <w:i/>
          <w:sz w:val="20"/>
          <w:szCs w:val="20"/>
          <w:lang w:val="es-MX"/>
        </w:rPr>
        <w:t xml:space="preserve">constató el cumplimiento total de la reparación referida </w:t>
      </w:r>
      <w:r w:rsidR="006F3456">
        <w:rPr>
          <w:rFonts w:ascii="Verdana" w:hAnsi="Verdana" w:cs="Arial"/>
          <w:i/>
          <w:sz w:val="20"/>
          <w:szCs w:val="20"/>
          <w:lang w:val="es-MX"/>
        </w:rPr>
        <w:t>…</w:t>
      </w:r>
      <w:r w:rsidR="006F3456" w:rsidRPr="006F3456">
        <w:rPr>
          <w:rFonts w:ascii="Verdana" w:hAnsi="Verdana" w:cs="Arial"/>
          <w:i/>
          <w:sz w:val="20"/>
          <w:szCs w:val="20"/>
          <w:lang w:val="es-MX"/>
        </w:rPr>
        <w:t xml:space="preserve">, en virtud de que el 13 de julio de 2016 la Sala de lo Constitucional de la Corte Suprema de Justicia de El Salvador emitió una </w:t>
      </w:r>
      <w:r w:rsidR="00A031B3">
        <w:rPr>
          <w:rFonts w:ascii="Verdana" w:hAnsi="Verdana" w:cs="Arial"/>
          <w:i/>
          <w:sz w:val="20"/>
          <w:szCs w:val="20"/>
          <w:lang w:val="es-MX"/>
        </w:rPr>
        <w:t>sentencia</w:t>
      </w:r>
      <w:r w:rsidR="006F3456" w:rsidRPr="006F3456">
        <w:rPr>
          <w:rFonts w:ascii="Verdana" w:hAnsi="Verdana" w:cs="Arial"/>
          <w:i/>
          <w:sz w:val="20"/>
          <w:szCs w:val="20"/>
          <w:lang w:val="es-MX"/>
        </w:rPr>
        <w:t xml:space="preserve"> en la cual declaró la inconstitucionalidad de la Ley de Amnistía General para la Consolidación de la Paz aprobada en 1993 (en adelante también “sentencia de inconstitucionalidad de julio de 2016) por considerar, entre otros, que “la extensión objetiva y subjetiva de la amnistía es contraria al derecho de acceso a la justicia, a la tutela judicial –protección de los derechos fundamentales–, y al derecho a la reparación integral de las víctimas de crímenes de lesa humanidad y crímenes de guerra constitutivos de graves violaciones al Derecho Internacional Humanitario</w:t>
      </w:r>
      <w:r w:rsidRPr="00D84A52">
        <w:rPr>
          <w:rFonts w:ascii="Verdana" w:hAnsi="Verdana"/>
          <w:sz w:val="20"/>
          <w:szCs w:val="20"/>
          <w:lang w:val="es-CR"/>
        </w:rPr>
        <w:t>”</w:t>
      </w:r>
      <w:r w:rsidR="006F3456">
        <w:rPr>
          <w:rStyle w:val="Refdenotaalpie"/>
          <w:rFonts w:ascii="Verdana" w:hAnsi="Verdana"/>
          <w:sz w:val="20"/>
          <w:szCs w:val="20"/>
          <w:lang w:val="es-CR"/>
        </w:rPr>
        <w:footnoteReference w:id="30"/>
      </w:r>
      <w:r w:rsidRPr="00D84A52">
        <w:rPr>
          <w:rFonts w:ascii="Verdana" w:hAnsi="Verdana"/>
          <w:sz w:val="20"/>
          <w:szCs w:val="20"/>
          <w:lang w:val="es-CR"/>
        </w:rPr>
        <w:t xml:space="preserve">.  </w:t>
      </w:r>
    </w:p>
    <w:p w14:paraId="4B879216" w14:textId="30F2EC93" w:rsidR="009831C8" w:rsidRDefault="00BA0596" w:rsidP="00D4486E">
      <w:pPr>
        <w:pStyle w:val="Default"/>
        <w:spacing w:after="100" w:afterAutospacing="1" w:line="276" w:lineRule="auto"/>
        <w:jc w:val="both"/>
        <w:rPr>
          <w:rFonts w:ascii="Verdana" w:eastAsia="Times" w:hAnsi="Verdana"/>
          <w:sz w:val="20"/>
          <w:szCs w:val="20"/>
        </w:rPr>
      </w:pPr>
      <w:r>
        <w:rPr>
          <w:rFonts w:ascii="Verdana" w:hAnsi="Verdana" w:cs="Verdana"/>
          <w:sz w:val="20"/>
          <w:szCs w:val="20"/>
        </w:rPr>
        <w:t>Por otra parte, l</w:t>
      </w:r>
      <w:r w:rsidR="000735AA">
        <w:rPr>
          <w:rFonts w:ascii="Verdana" w:hAnsi="Verdana" w:cs="Verdana"/>
          <w:sz w:val="20"/>
          <w:szCs w:val="20"/>
        </w:rPr>
        <w:t>o ordenado en l</w:t>
      </w:r>
      <w:r>
        <w:rPr>
          <w:rFonts w:ascii="Verdana" w:hAnsi="Verdana" w:cs="Verdana"/>
          <w:sz w:val="20"/>
          <w:szCs w:val="20"/>
        </w:rPr>
        <w:t xml:space="preserve">a mencionada Resolución tampoco tenía </w:t>
      </w:r>
      <w:r w:rsidR="000735AA">
        <w:rPr>
          <w:rFonts w:ascii="Verdana" w:hAnsi="Verdana" w:cs="Verdana"/>
          <w:sz w:val="20"/>
          <w:szCs w:val="20"/>
        </w:rPr>
        <w:t>vinculación con el caso</w:t>
      </w:r>
      <w:r>
        <w:rPr>
          <w:rFonts w:ascii="Verdana" w:hAnsi="Verdana" w:cs="Verdana"/>
          <w:sz w:val="20"/>
          <w:szCs w:val="20"/>
        </w:rPr>
        <w:t xml:space="preserve"> en lo pertinente a la obligación de investigar</w:t>
      </w:r>
      <w:r w:rsidR="000735AA">
        <w:rPr>
          <w:rFonts w:ascii="Verdana" w:hAnsi="Verdana" w:cs="Verdana"/>
          <w:sz w:val="20"/>
          <w:szCs w:val="20"/>
        </w:rPr>
        <w:t xml:space="preserve">, puesto que la </w:t>
      </w:r>
      <w:r>
        <w:rPr>
          <w:rFonts w:ascii="Verdana" w:hAnsi="Verdana" w:cs="Verdana"/>
          <w:sz w:val="20"/>
          <w:szCs w:val="20"/>
        </w:rPr>
        <w:t xml:space="preserve">Sentencia </w:t>
      </w:r>
      <w:r w:rsidR="00A031B3">
        <w:rPr>
          <w:rFonts w:ascii="Verdana" w:hAnsi="Verdana" w:cs="Verdana"/>
          <w:sz w:val="20"/>
          <w:szCs w:val="20"/>
        </w:rPr>
        <w:t xml:space="preserve">lo que </w:t>
      </w:r>
      <w:r w:rsidR="000735AA">
        <w:rPr>
          <w:rFonts w:ascii="Verdana" w:hAnsi="Verdana" w:cs="Verdana"/>
          <w:sz w:val="20"/>
          <w:szCs w:val="20"/>
        </w:rPr>
        <w:t xml:space="preserve">dispuso </w:t>
      </w:r>
      <w:r>
        <w:rPr>
          <w:rFonts w:ascii="Verdana" w:hAnsi="Verdana" w:cs="Verdana"/>
          <w:sz w:val="20"/>
          <w:szCs w:val="20"/>
        </w:rPr>
        <w:t xml:space="preserve">fue </w:t>
      </w:r>
      <w:r w:rsidR="000735AA">
        <w:rPr>
          <w:rFonts w:ascii="Verdana" w:hAnsi="Verdana" w:cs="Verdana"/>
          <w:sz w:val="20"/>
          <w:szCs w:val="20"/>
        </w:rPr>
        <w:t xml:space="preserve">que </w:t>
      </w:r>
      <w:r w:rsidR="000735AA" w:rsidRPr="000735AA">
        <w:rPr>
          <w:rFonts w:ascii="Verdana" w:hAnsi="Verdana" w:cs="Verdana"/>
          <w:i/>
          <w:sz w:val="20"/>
          <w:szCs w:val="20"/>
        </w:rPr>
        <w:t>“(e)l E</w:t>
      </w:r>
      <w:r w:rsidR="00123874" w:rsidRPr="000735AA">
        <w:rPr>
          <w:rFonts w:ascii="Verdana" w:eastAsia="Times" w:hAnsi="Verdana"/>
          <w:i/>
          <w:sz w:val="20"/>
          <w:szCs w:val="20"/>
        </w:rPr>
        <w:t xml:space="preserve">stado debe, en un plazo razonable, </w:t>
      </w:r>
      <w:r w:rsidR="00123874" w:rsidRPr="000735AA">
        <w:rPr>
          <w:rFonts w:ascii="Verdana" w:hAnsi="Verdana"/>
          <w:i/>
          <w:sz w:val="20"/>
          <w:szCs w:val="20"/>
          <w:lang w:val="es-MX"/>
        </w:rPr>
        <w:t xml:space="preserve">iniciar, impulsar, reabrir, dirigir, continuar y concluir, según corresponda, </w:t>
      </w:r>
      <w:r w:rsidR="00123874" w:rsidRPr="000735AA">
        <w:rPr>
          <w:rFonts w:ascii="Verdana" w:eastAsia="MS Mincho" w:hAnsi="Verdana"/>
          <w:i/>
          <w:sz w:val="20"/>
          <w:szCs w:val="20"/>
        </w:rPr>
        <w:t xml:space="preserve">con la mayor diligencia, </w:t>
      </w:r>
      <w:r w:rsidR="00123874" w:rsidRPr="000735AA">
        <w:rPr>
          <w:rFonts w:ascii="Verdana" w:hAnsi="Verdana"/>
          <w:i/>
          <w:sz w:val="20"/>
          <w:szCs w:val="20"/>
          <w:lang w:val="es-MX"/>
        </w:rPr>
        <w:t xml:space="preserve">las investigaciones de todos los hechos que originaron las violaciones declaradas en la </w:t>
      </w:r>
      <w:r w:rsidR="00123874" w:rsidRPr="000735AA">
        <w:rPr>
          <w:rFonts w:ascii="Verdana" w:hAnsi="Verdana"/>
          <w:i/>
          <w:sz w:val="20"/>
          <w:szCs w:val="20"/>
          <w:lang w:val="es-MX"/>
        </w:rPr>
        <w:lastRenderedPageBreak/>
        <w:t xml:space="preserve">presente Sentencia, con el propósito de identificar, juzgar </w:t>
      </w:r>
      <w:r w:rsidR="00123874" w:rsidRPr="000735AA">
        <w:rPr>
          <w:rFonts w:ascii="Verdana" w:eastAsia="Times" w:hAnsi="Verdana" w:cs="Verdana"/>
          <w:i/>
          <w:sz w:val="20"/>
          <w:szCs w:val="20"/>
        </w:rPr>
        <w:t>y, en su caso, sancionar a los responsables</w:t>
      </w:r>
      <w:r w:rsidR="00123874" w:rsidRPr="000735AA">
        <w:rPr>
          <w:rFonts w:ascii="Verdana" w:hAnsi="Verdana"/>
          <w:i/>
          <w:sz w:val="20"/>
          <w:szCs w:val="20"/>
          <w:lang w:val="es-MX"/>
        </w:rPr>
        <w:t xml:space="preserve">, </w:t>
      </w:r>
      <w:r w:rsidR="00123874" w:rsidRPr="000735AA">
        <w:rPr>
          <w:rFonts w:ascii="Verdana" w:eastAsia="Times" w:hAnsi="Verdana"/>
          <w:i/>
          <w:sz w:val="20"/>
          <w:szCs w:val="20"/>
        </w:rPr>
        <w:t>de conformidad con lo establecido en los párrafos 315 a 321 de la presente Sentencia</w:t>
      </w:r>
      <w:r w:rsidR="000735AA">
        <w:rPr>
          <w:rFonts w:ascii="Verdana" w:eastAsia="Times" w:hAnsi="Verdana"/>
          <w:i/>
          <w:sz w:val="20"/>
          <w:szCs w:val="20"/>
        </w:rPr>
        <w:t>”</w:t>
      </w:r>
      <w:r w:rsidR="005B3784">
        <w:rPr>
          <w:rStyle w:val="Refdenotaalpie"/>
          <w:rFonts w:ascii="Verdana" w:eastAsia="Times" w:hAnsi="Verdana"/>
          <w:i/>
          <w:sz w:val="20"/>
          <w:szCs w:val="20"/>
        </w:rPr>
        <w:footnoteReference w:id="31"/>
      </w:r>
      <w:r w:rsidR="000735AA">
        <w:rPr>
          <w:rFonts w:ascii="Verdana" w:eastAsia="Times" w:hAnsi="Verdana"/>
          <w:sz w:val="20"/>
          <w:szCs w:val="20"/>
        </w:rPr>
        <w:t>.</w:t>
      </w:r>
      <w:r w:rsidR="00592FDA">
        <w:rPr>
          <w:rFonts w:ascii="Verdana" w:eastAsia="Times" w:hAnsi="Verdana"/>
          <w:sz w:val="20"/>
          <w:szCs w:val="20"/>
        </w:rPr>
        <w:t xml:space="preserve"> </w:t>
      </w:r>
    </w:p>
    <w:p w14:paraId="2AFC31DB" w14:textId="4D960C8D" w:rsidR="006C7D2A" w:rsidRPr="004E3FA7" w:rsidRDefault="0036696F" w:rsidP="00D4486E">
      <w:pPr>
        <w:pStyle w:val="Default"/>
        <w:spacing w:after="100" w:afterAutospacing="1" w:line="276" w:lineRule="auto"/>
        <w:jc w:val="both"/>
        <w:rPr>
          <w:rFonts w:ascii="Verdana" w:hAnsi="Verdana"/>
          <w:sz w:val="20"/>
          <w:szCs w:val="20"/>
        </w:rPr>
      </w:pPr>
      <w:r>
        <w:rPr>
          <w:rFonts w:ascii="Verdana" w:eastAsia="Times" w:hAnsi="Verdana"/>
          <w:sz w:val="20"/>
          <w:szCs w:val="20"/>
        </w:rPr>
        <w:t>Y sucede que, en la Resolución</w:t>
      </w:r>
      <w:r w:rsidR="004E3FA7">
        <w:rPr>
          <w:rFonts w:ascii="Verdana" w:eastAsia="Times" w:hAnsi="Verdana"/>
          <w:sz w:val="20"/>
          <w:szCs w:val="20"/>
        </w:rPr>
        <w:t xml:space="preserve"> se deja constancia de que la Corte “</w:t>
      </w:r>
      <w:r w:rsidR="004E3FA7" w:rsidRPr="005B3784">
        <w:rPr>
          <w:rFonts w:ascii="Verdana" w:hAnsi="Verdana" w:cs="Arial"/>
          <w:i/>
          <w:sz w:val="20"/>
          <w:szCs w:val="20"/>
          <w:lang w:val="es-MX"/>
        </w:rPr>
        <w:t>constató que, a raíz de la mencionada sentencia de la Sala de lo Constitucional, se había revocado el sobreseimiento definitivo de las investigaciones sobre los hechos de las masacres de El Mozote, dictado en septiembre de 1993 en aplicación de la referida Ley de Amnistía</w:t>
      </w:r>
      <w:r w:rsidR="00AD3525">
        <w:rPr>
          <w:rFonts w:ascii="Verdana" w:hAnsi="Verdana" w:cs="Arial"/>
          <w:i/>
          <w:sz w:val="20"/>
          <w:szCs w:val="20"/>
          <w:lang w:val="es-MX"/>
        </w:rPr>
        <w:t xml:space="preserve"> General</w:t>
      </w:r>
      <w:r w:rsidR="004E3FA7" w:rsidRPr="005B3784">
        <w:rPr>
          <w:rFonts w:ascii="Verdana" w:hAnsi="Verdana" w:cs="Arial"/>
          <w:i/>
          <w:sz w:val="20"/>
          <w:szCs w:val="20"/>
          <w:lang w:val="es-MX"/>
        </w:rPr>
        <w:t>, y</w:t>
      </w:r>
      <w:r w:rsidR="004E3FA7" w:rsidRPr="004E3FA7">
        <w:rPr>
          <w:rFonts w:ascii="Verdana" w:hAnsi="Verdana" w:cs="Arial"/>
          <w:sz w:val="20"/>
          <w:szCs w:val="20"/>
          <w:lang w:val="es-MX"/>
        </w:rPr>
        <w:t xml:space="preserve"> </w:t>
      </w:r>
      <w:r w:rsidR="004E3FA7" w:rsidRPr="005B3784">
        <w:rPr>
          <w:rFonts w:ascii="Verdana" w:hAnsi="Verdana" w:cs="Arial"/>
          <w:i/>
          <w:sz w:val="20"/>
          <w:szCs w:val="20"/>
          <w:lang w:val="es-MX"/>
        </w:rPr>
        <w:t xml:space="preserve">se había ordenado la reapertura del proceso penal </w:t>
      </w:r>
      <w:r w:rsidR="004E3FA7" w:rsidRPr="005B3784">
        <w:rPr>
          <w:rFonts w:ascii="Verdana" w:hAnsi="Verdana"/>
          <w:i/>
          <w:sz w:val="20"/>
          <w:szCs w:val="20"/>
        </w:rPr>
        <w:t>ante el Juzgado Segundo de Primera Instancia de San Francisco Gotera</w:t>
      </w:r>
      <w:r w:rsidR="004E3FA7">
        <w:rPr>
          <w:rFonts w:ascii="Verdana" w:hAnsi="Verdana"/>
          <w:sz w:val="20"/>
          <w:szCs w:val="20"/>
        </w:rPr>
        <w:t>”</w:t>
      </w:r>
      <w:r w:rsidR="004E3FA7">
        <w:rPr>
          <w:rStyle w:val="Refdenotaalpie"/>
          <w:rFonts w:ascii="Verdana" w:hAnsi="Verdana"/>
          <w:sz w:val="20"/>
          <w:szCs w:val="20"/>
        </w:rPr>
        <w:footnoteReference w:id="32"/>
      </w:r>
      <w:r w:rsidR="00AD3525">
        <w:rPr>
          <w:rFonts w:ascii="Verdana" w:hAnsi="Verdana"/>
          <w:sz w:val="20"/>
          <w:szCs w:val="20"/>
        </w:rPr>
        <w:t>.</w:t>
      </w:r>
    </w:p>
    <w:p w14:paraId="28116C90" w14:textId="77777777" w:rsidR="00592FDA" w:rsidRPr="00592FDA" w:rsidRDefault="00592FDA" w:rsidP="00D4486E">
      <w:pPr>
        <w:pStyle w:val="Default"/>
        <w:spacing w:after="100" w:afterAutospacing="1" w:line="276" w:lineRule="auto"/>
        <w:jc w:val="both"/>
        <w:rPr>
          <w:rFonts w:ascii="Verdana" w:eastAsia="Times" w:hAnsi="Verdana"/>
          <w:sz w:val="20"/>
          <w:szCs w:val="20"/>
        </w:rPr>
      </w:pPr>
      <w:r>
        <w:rPr>
          <w:rFonts w:ascii="Verdana" w:hAnsi="Verdana"/>
          <w:sz w:val="20"/>
          <w:szCs w:val="20"/>
        </w:rPr>
        <w:t>De manera, en consecuencia, que el requisito consistente a la vinculación de las medidas provisionales con el caso en comento</w:t>
      </w:r>
      <w:r w:rsidR="006274E0">
        <w:rPr>
          <w:rFonts w:ascii="Verdana" w:hAnsi="Verdana"/>
          <w:sz w:val="20"/>
          <w:szCs w:val="20"/>
        </w:rPr>
        <w:t xml:space="preserve"> no se cumplía al momento de</w:t>
      </w:r>
      <w:r w:rsidR="00482AA0">
        <w:rPr>
          <w:rFonts w:ascii="Verdana" w:hAnsi="Verdana"/>
          <w:sz w:val="20"/>
          <w:szCs w:val="20"/>
        </w:rPr>
        <w:t xml:space="preserve"> su presentación </w:t>
      </w:r>
      <w:r w:rsidR="006274E0">
        <w:rPr>
          <w:rFonts w:ascii="Verdana" w:hAnsi="Verdana"/>
          <w:sz w:val="20"/>
          <w:szCs w:val="20"/>
        </w:rPr>
        <w:t>como tampoco</w:t>
      </w:r>
      <w:r w:rsidR="00743612">
        <w:rPr>
          <w:rFonts w:ascii="Verdana" w:hAnsi="Verdana"/>
          <w:sz w:val="20"/>
          <w:szCs w:val="20"/>
        </w:rPr>
        <w:t>, obvi</w:t>
      </w:r>
      <w:r w:rsidR="002000EC">
        <w:rPr>
          <w:rFonts w:ascii="Verdana" w:hAnsi="Verdana"/>
          <w:sz w:val="20"/>
          <w:szCs w:val="20"/>
        </w:rPr>
        <w:t>amente,</w:t>
      </w:r>
      <w:r w:rsidR="006274E0">
        <w:rPr>
          <w:rFonts w:ascii="Verdana" w:hAnsi="Verdana"/>
          <w:sz w:val="20"/>
          <w:szCs w:val="20"/>
        </w:rPr>
        <w:t xml:space="preserve"> </w:t>
      </w:r>
      <w:r w:rsidR="009831C8">
        <w:rPr>
          <w:rFonts w:ascii="Verdana" w:hAnsi="Verdana"/>
          <w:sz w:val="20"/>
          <w:szCs w:val="20"/>
        </w:rPr>
        <w:t xml:space="preserve">se cumple </w:t>
      </w:r>
      <w:r w:rsidR="006274E0">
        <w:rPr>
          <w:rFonts w:ascii="Verdana" w:hAnsi="Verdana"/>
          <w:sz w:val="20"/>
          <w:szCs w:val="20"/>
        </w:rPr>
        <w:t>en la actualidad</w:t>
      </w:r>
      <w:r w:rsidR="00786775">
        <w:rPr>
          <w:rFonts w:ascii="Verdana" w:hAnsi="Verdana"/>
          <w:sz w:val="20"/>
          <w:szCs w:val="20"/>
        </w:rPr>
        <w:t>.</w:t>
      </w:r>
    </w:p>
    <w:p w14:paraId="3F7E8729" w14:textId="77777777" w:rsidR="00270319" w:rsidRDefault="006C7D2A" w:rsidP="00F66A1E">
      <w:pPr>
        <w:pStyle w:val="Default"/>
        <w:numPr>
          <w:ilvl w:val="0"/>
          <w:numId w:val="14"/>
        </w:numPr>
        <w:spacing w:after="100" w:afterAutospacing="1" w:line="276" w:lineRule="auto"/>
        <w:ind w:left="360"/>
        <w:jc w:val="both"/>
        <w:rPr>
          <w:rFonts w:ascii="Verdana" w:eastAsiaTheme="minorHAnsi" w:hAnsi="Verdana" w:cs="Verdana"/>
          <w:b/>
          <w:sz w:val="20"/>
          <w:szCs w:val="20"/>
          <w:lang w:val="es-CL" w:eastAsia="en-US"/>
        </w:rPr>
      </w:pPr>
      <w:r w:rsidRPr="006C7D2A">
        <w:rPr>
          <w:rFonts w:ascii="Verdana" w:eastAsiaTheme="minorHAnsi" w:hAnsi="Verdana" w:cs="Verdana"/>
          <w:b/>
          <w:sz w:val="20"/>
          <w:szCs w:val="20"/>
          <w:lang w:val="es-CL" w:eastAsia="en-US"/>
        </w:rPr>
        <w:t>Extrema gravedad</w:t>
      </w:r>
      <w:r w:rsidR="00270319">
        <w:rPr>
          <w:rFonts w:ascii="Verdana" w:eastAsiaTheme="minorHAnsi" w:hAnsi="Verdana" w:cs="Verdana"/>
          <w:b/>
          <w:sz w:val="20"/>
          <w:szCs w:val="20"/>
          <w:lang w:val="es-CL" w:eastAsia="en-US"/>
        </w:rPr>
        <w:t>.</w:t>
      </w:r>
    </w:p>
    <w:p w14:paraId="7414083B" w14:textId="0457A716" w:rsidR="006C334A" w:rsidRDefault="00383F2C" w:rsidP="00D4486E">
      <w:pPr>
        <w:pStyle w:val="Default"/>
        <w:spacing w:line="276" w:lineRule="auto"/>
        <w:jc w:val="both"/>
        <w:rPr>
          <w:rFonts w:ascii="Verdana" w:hAnsi="Verdana" w:cs="Verdana"/>
          <w:sz w:val="20"/>
          <w:szCs w:val="20"/>
        </w:rPr>
      </w:pPr>
      <w:r>
        <w:rPr>
          <w:rFonts w:ascii="Verdana" w:hAnsi="Verdana" w:cs="Verdana"/>
          <w:sz w:val="20"/>
          <w:szCs w:val="20"/>
        </w:rPr>
        <w:t>En lo atingente al requisito</w:t>
      </w:r>
      <w:r w:rsidR="00592FDA">
        <w:rPr>
          <w:rFonts w:ascii="Verdana" w:hAnsi="Verdana" w:cs="Verdana"/>
          <w:sz w:val="20"/>
          <w:szCs w:val="20"/>
        </w:rPr>
        <w:t xml:space="preserve"> de extrema gravedad,</w:t>
      </w:r>
      <w:r w:rsidR="006C334A">
        <w:rPr>
          <w:rFonts w:ascii="Verdana" w:hAnsi="Verdana" w:cs="Verdana"/>
          <w:sz w:val="20"/>
          <w:szCs w:val="20"/>
        </w:rPr>
        <w:t xml:space="preserve"> </w:t>
      </w:r>
      <w:r w:rsidR="006C334A">
        <w:rPr>
          <w:rFonts w:ascii="Verdana" w:hAnsi="Verdana" w:cs="Arial"/>
          <w:sz w:val="20"/>
          <w:szCs w:val="20"/>
          <w:lang w:val="es-MX"/>
        </w:rPr>
        <w:t>l</w:t>
      </w:r>
      <w:r w:rsidR="006C334A" w:rsidRPr="006F1C7D">
        <w:rPr>
          <w:rFonts w:ascii="Verdana" w:hAnsi="Verdana" w:cs="Arial"/>
          <w:sz w:val="20"/>
          <w:szCs w:val="20"/>
          <w:lang w:val="es-MX"/>
        </w:rPr>
        <w:t xml:space="preserve">a </w:t>
      </w:r>
      <w:r w:rsidR="00B827EA">
        <w:rPr>
          <w:rFonts w:ascii="Verdana" w:hAnsi="Verdana" w:cs="Arial"/>
          <w:sz w:val="20"/>
          <w:szCs w:val="20"/>
          <w:lang w:val="es-MX"/>
        </w:rPr>
        <w:t xml:space="preserve">Petición </w:t>
      </w:r>
      <w:r w:rsidR="006C334A">
        <w:rPr>
          <w:rFonts w:ascii="Verdana" w:hAnsi="Verdana" w:cs="Arial"/>
          <w:sz w:val="20"/>
          <w:szCs w:val="20"/>
          <w:lang w:val="es-MX"/>
        </w:rPr>
        <w:t>se presentó “</w:t>
      </w:r>
      <w:r w:rsidR="006C334A" w:rsidRPr="00482AA0">
        <w:rPr>
          <w:rFonts w:ascii="Verdana" w:hAnsi="Verdana" w:cs="Arial"/>
          <w:i/>
          <w:sz w:val="20"/>
          <w:szCs w:val="20"/>
          <w:lang w:val="es-MX"/>
        </w:rPr>
        <w:t>por el alegado riesgo de daño irreparable de extrema gravedad y urgencia de que el derecho de acceso a la justicia de las víctimas de la[s] Masacre[s] de El Mozote y lugares aledaños y de las víctimas de violaciones a derechos humanos del conflicto armado en su conjunto sea violado</w:t>
      </w:r>
      <w:r w:rsidR="006C334A" w:rsidRPr="006F1C7D">
        <w:rPr>
          <w:rFonts w:ascii="Verdana" w:hAnsi="Verdana" w:cs="Arial"/>
          <w:sz w:val="20"/>
          <w:szCs w:val="20"/>
          <w:lang w:val="es-MX"/>
        </w:rPr>
        <w:t>”, debido a la “</w:t>
      </w:r>
      <w:r w:rsidR="006C334A" w:rsidRPr="00482AA0">
        <w:rPr>
          <w:rFonts w:ascii="Verdana" w:hAnsi="Verdana" w:cs="Arial"/>
          <w:i/>
          <w:sz w:val="20"/>
          <w:szCs w:val="20"/>
          <w:lang w:val="es-MX"/>
        </w:rPr>
        <w:t>inminente aprobación” del “proyecto de Ley Especial de Justicia Transicional y Restaurativa para la Reconciliación Nacional”</w:t>
      </w:r>
      <w:r w:rsidR="006C334A">
        <w:rPr>
          <w:rStyle w:val="Refdenotaalpie"/>
          <w:rFonts w:ascii="Verdana" w:hAnsi="Verdana"/>
          <w:sz w:val="20"/>
          <w:szCs w:val="20"/>
        </w:rPr>
        <w:footnoteReference w:id="33"/>
      </w:r>
      <w:r w:rsidR="006C334A" w:rsidRPr="006F1C7D">
        <w:rPr>
          <w:rFonts w:ascii="Verdana" w:hAnsi="Verdana"/>
          <w:sz w:val="20"/>
          <w:szCs w:val="20"/>
        </w:rPr>
        <w:t>.</w:t>
      </w:r>
      <w:r w:rsidR="00592FDA">
        <w:rPr>
          <w:rFonts w:ascii="Verdana" w:hAnsi="Verdana" w:cs="Verdana"/>
          <w:sz w:val="20"/>
          <w:szCs w:val="20"/>
        </w:rPr>
        <w:t xml:space="preserve"> </w:t>
      </w:r>
    </w:p>
    <w:p w14:paraId="3F8CC58E" w14:textId="77777777" w:rsidR="009D0ED8" w:rsidRPr="009D0ED8" w:rsidRDefault="009D0ED8" w:rsidP="00D4486E">
      <w:pPr>
        <w:pStyle w:val="Default"/>
        <w:rPr>
          <w:rFonts w:ascii="Verdana" w:eastAsiaTheme="minorHAnsi" w:hAnsi="Verdana" w:cs="Verdana"/>
          <w:lang w:val="es-CL" w:eastAsia="en-US"/>
        </w:rPr>
      </w:pPr>
    </w:p>
    <w:p w14:paraId="1683B7D3" w14:textId="1D2D0E50" w:rsidR="00592FDA" w:rsidRPr="002E1045" w:rsidRDefault="009C40AD" w:rsidP="00592FDA">
      <w:pPr>
        <w:pStyle w:val="Default"/>
        <w:spacing w:line="276" w:lineRule="auto"/>
        <w:jc w:val="both"/>
        <w:rPr>
          <w:rFonts w:ascii="Verdana" w:hAnsi="Verdana" w:cs="Verdana"/>
          <w:sz w:val="20"/>
          <w:szCs w:val="20"/>
        </w:rPr>
      </w:pPr>
      <w:r>
        <w:rPr>
          <w:rFonts w:ascii="Verdana" w:hAnsi="Verdana" w:cs="Verdana"/>
          <w:sz w:val="20"/>
          <w:szCs w:val="20"/>
        </w:rPr>
        <w:t>Ante lo transcrito, es m</w:t>
      </w:r>
      <w:r w:rsidR="0029471C">
        <w:rPr>
          <w:rFonts w:ascii="Verdana" w:hAnsi="Verdana" w:cs="Verdana"/>
          <w:sz w:val="20"/>
          <w:szCs w:val="20"/>
        </w:rPr>
        <w:t xml:space="preserve">enester recalcar, primeramente, </w:t>
      </w:r>
      <w:r w:rsidR="00592FDA">
        <w:rPr>
          <w:rFonts w:ascii="Verdana" w:hAnsi="Verdana" w:cs="Verdana"/>
          <w:sz w:val="20"/>
          <w:szCs w:val="20"/>
        </w:rPr>
        <w:t xml:space="preserve">que </w:t>
      </w:r>
      <w:r w:rsidR="00B827EA">
        <w:rPr>
          <w:rFonts w:ascii="Verdana" w:hAnsi="Verdana" w:cs="Verdana"/>
          <w:sz w:val="20"/>
          <w:szCs w:val="20"/>
        </w:rPr>
        <w:t>la P</w:t>
      </w:r>
      <w:r w:rsidR="00482AA0">
        <w:rPr>
          <w:rFonts w:ascii="Verdana" w:hAnsi="Verdana" w:cs="Verdana"/>
          <w:sz w:val="20"/>
          <w:szCs w:val="20"/>
        </w:rPr>
        <w:t>etición se apoyó</w:t>
      </w:r>
      <w:r>
        <w:rPr>
          <w:rFonts w:ascii="Verdana" w:hAnsi="Verdana" w:cs="Verdana"/>
          <w:sz w:val="20"/>
          <w:szCs w:val="20"/>
        </w:rPr>
        <w:t xml:space="preserve"> en un hecho condicional</w:t>
      </w:r>
      <w:r w:rsidR="00592FDA">
        <w:rPr>
          <w:rFonts w:ascii="Verdana" w:hAnsi="Verdana" w:cs="Verdana"/>
          <w:sz w:val="20"/>
          <w:szCs w:val="20"/>
        </w:rPr>
        <w:t>, va</w:t>
      </w:r>
      <w:r w:rsidR="00482AA0">
        <w:rPr>
          <w:rFonts w:ascii="Verdana" w:hAnsi="Verdana" w:cs="Verdana"/>
          <w:sz w:val="20"/>
          <w:szCs w:val="20"/>
        </w:rPr>
        <w:t xml:space="preserve">le decir, en </w:t>
      </w:r>
      <w:r w:rsidR="00673FC7">
        <w:rPr>
          <w:rFonts w:ascii="Verdana" w:hAnsi="Verdana" w:cs="Verdana"/>
          <w:sz w:val="20"/>
          <w:szCs w:val="20"/>
        </w:rPr>
        <w:t xml:space="preserve">la eventual ocurrencia de un acontecimiento futuro y que, por ende, </w:t>
      </w:r>
      <w:r w:rsidR="00592FDA">
        <w:rPr>
          <w:rFonts w:ascii="Verdana" w:hAnsi="Verdana" w:cs="Verdana"/>
          <w:sz w:val="20"/>
          <w:szCs w:val="20"/>
        </w:rPr>
        <w:t xml:space="preserve">que </w:t>
      </w:r>
      <w:r w:rsidR="00673FC7">
        <w:rPr>
          <w:rFonts w:ascii="Verdana" w:hAnsi="Verdana" w:cs="Verdana"/>
          <w:sz w:val="20"/>
          <w:szCs w:val="20"/>
        </w:rPr>
        <w:t>aún no</w:t>
      </w:r>
      <w:r w:rsidR="00592FDA">
        <w:rPr>
          <w:rFonts w:ascii="Verdana" w:hAnsi="Verdana" w:cs="Verdana"/>
          <w:sz w:val="20"/>
          <w:szCs w:val="20"/>
        </w:rPr>
        <w:t xml:space="preserve"> había</w:t>
      </w:r>
      <w:r w:rsidR="00673FC7">
        <w:rPr>
          <w:rFonts w:ascii="Verdana" w:hAnsi="Verdana" w:cs="Verdana"/>
          <w:sz w:val="20"/>
          <w:szCs w:val="20"/>
        </w:rPr>
        <w:t xml:space="preserve"> tenido lugar. Y así, las formas verbales utilizadas </w:t>
      </w:r>
      <w:r w:rsidR="006C334A">
        <w:rPr>
          <w:rFonts w:ascii="Verdana" w:hAnsi="Verdana" w:cs="Verdana"/>
          <w:sz w:val="20"/>
          <w:szCs w:val="20"/>
        </w:rPr>
        <w:t xml:space="preserve">al efecto </w:t>
      </w:r>
      <w:r w:rsidR="00CA22AD">
        <w:rPr>
          <w:rFonts w:ascii="Verdana" w:hAnsi="Verdana" w:cs="Verdana"/>
          <w:sz w:val="20"/>
          <w:szCs w:val="20"/>
        </w:rPr>
        <w:t>han</w:t>
      </w:r>
      <w:r w:rsidR="00482AA0">
        <w:rPr>
          <w:rFonts w:ascii="Verdana" w:hAnsi="Verdana" w:cs="Verdana"/>
          <w:sz w:val="20"/>
          <w:szCs w:val="20"/>
        </w:rPr>
        <w:t xml:space="preserve"> </w:t>
      </w:r>
      <w:r w:rsidR="006C334A">
        <w:rPr>
          <w:rFonts w:ascii="Verdana" w:hAnsi="Verdana" w:cs="Verdana"/>
          <w:sz w:val="20"/>
          <w:szCs w:val="20"/>
        </w:rPr>
        <w:t xml:space="preserve">sido </w:t>
      </w:r>
      <w:r w:rsidR="00673FC7">
        <w:rPr>
          <w:rFonts w:ascii="Verdana" w:hAnsi="Verdana" w:cs="Verdana"/>
          <w:sz w:val="20"/>
          <w:szCs w:val="20"/>
        </w:rPr>
        <w:t>siempre en condicional</w:t>
      </w:r>
      <w:r w:rsidR="00DC0270">
        <w:rPr>
          <w:rFonts w:ascii="Verdana" w:hAnsi="Verdana" w:cs="Verdana"/>
          <w:sz w:val="20"/>
          <w:szCs w:val="20"/>
        </w:rPr>
        <w:t xml:space="preserve">, como son las de </w:t>
      </w:r>
      <w:r w:rsidR="002E1045" w:rsidRPr="002E1045">
        <w:rPr>
          <w:rFonts w:ascii="Verdana" w:hAnsi="Verdana" w:cs="Verdana"/>
          <w:sz w:val="20"/>
          <w:szCs w:val="20"/>
        </w:rPr>
        <w:t>“estaría”</w:t>
      </w:r>
      <w:r w:rsidR="002E1045" w:rsidRPr="002E1045">
        <w:rPr>
          <w:rStyle w:val="Refdenotaalpie"/>
          <w:rFonts w:ascii="Verdana" w:hAnsi="Verdana" w:cs="Verdana"/>
          <w:sz w:val="20"/>
          <w:szCs w:val="20"/>
        </w:rPr>
        <w:footnoteReference w:id="34"/>
      </w:r>
      <w:r w:rsidR="001944DD">
        <w:rPr>
          <w:rFonts w:ascii="Verdana" w:hAnsi="Verdana" w:cs="Verdana"/>
          <w:sz w:val="20"/>
          <w:szCs w:val="20"/>
        </w:rPr>
        <w:t xml:space="preserve"> y</w:t>
      </w:r>
      <w:r w:rsidR="002E1045">
        <w:rPr>
          <w:rFonts w:ascii="Verdana" w:hAnsi="Verdana" w:cs="Verdana"/>
          <w:sz w:val="20"/>
          <w:szCs w:val="20"/>
        </w:rPr>
        <w:t xml:space="preserve"> </w:t>
      </w:r>
      <w:r w:rsidR="00673FC7" w:rsidRPr="002E1045">
        <w:rPr>
          <w:rFonts w:ascii="Verdana" w:hAnsi="Verdana" w:cs="Verdana"/>
          <w:sz w:val="20"/>
          <w:szCs w:val="20"/>
        </w:rPr>
        <w:t>“podría”</w:t>
      </w:r>
      <w:r w:rsidR="00673FC7" w:rsidRPr="002E1045">
        <w:rPr>
          <w:rStyle w:val="Refdenotaalpie"/>
          <w:rFonts w:ascii="Verdana" w:hAnsi="Verdana" w:cs="Verdana"/>
          <w:sz w:val="20"/>
          <w:szCs w:val="20"/>
        </w:rPr>
        <w:footnoteReference w:id="35"/>
      </w:r>
      <w:r w:rsidR="0029471C" w:rsidRPr="002E1045">
        <w:rPr>
          <w:rFonts w:ascii="Verdana" w:hAnsi="Verdana" w:cs="Verdana"/>
          <w:sz w:val="20"/>
          <w:szCs w:val="20"/>
        </w:rPr>
        <w:t>.</w:t>
      </w:r>
    </w:p>
    <w:p w14:paraId="562FC7F5" w14:textId="77777777" w:rsidR="00592FDA" w:rsidRDefault="00592FDA" w:rsidP="00592FDA">
      <w:pPr>
        <w:pStyle w:val="Default"/>
        <w:spacing w:line="276" w:lineRule="auto"/>
        <w:jc w:val="both"/>
        <w:rPr>
          <w:rFonts w:ascii="Verdana" w:hAnsi="Verdana" w:cs="Verdana"/>
          <w:sz w:val="20"/>
          <w:szCs w:val="20"/>
        </w:rPr>
      </w:pPr>
      <w:r>
        <w:rPr>
          <w:rFonts w:ascii="Verdana" w:hAnsi="Verdana" w:cs="Verdana"/>
          <w:sz w:val="20"/>
          <w:szCs w:val="20"/>
        </w:rPr>
        <w:t xml:space="preserve"> </w:t>
      </w:r>
    </w:p>
    <w:p w14:paraId="0216E596" w14:textId="77777777" w:rsidR="006C334A" w:rsidRDefault="0029471C" w:rsidP="006C334A">
      <w:pPr>
        <w:pStyle w:val="Default"/>
        <w:spacing w:after="100" w:afterAutospacing="1" w:line="276" w:lineRule="auto"/>
        <w:jc w:val="both"/>
        <w:rPr>
          <w:rFonts w:ascii="Verdana" w:eastAsia="Arial Unicode MS" w:hAnsi="Verdana" w:cs="Arial Unicode MS"/>
          <w:spacing w:val="4"/>
          <w:sz w:val="20"/>
          <w:szCs w:val="20"/>
          <w:shd w:val="clear" w:color="auto" w:fill="FFFFFF"/>
        </w:rPr>
      </w:pPr>
      <w:r>
        <w:rPr>
          <w:rFonts w:ascii="Verdana" w:hAnsi="Verdana" w:cs="Verdana"/>
          <w:sz w:val="20"/>
          <w:szCs w:val="20"/>
        </w:rPr>
        <w:t>En segundo lugar, cabe subrayar que la extrema gravedad a que se refiere</w:t>
      </w:r>
      <w:r w:rsidR="00B827EA">
        <w:rPr>
          <w:rFonts w:ascii="Verdana" w:hAnsi="Verdana" w:cs="Verdana"/>
          <w:sz w:val="20"/>
          <w:szCs w:val="20"/>
        </w:rPr>
        <w:t>n la P</w:t>
      </w:r>
      <w:r w:rsidR="006C334A">
        <w:rPr>
          <w:rFonts w:ascii="Verdana" w:hAnsi="Verdana" w:cs="Verdana"/>
          <w:sz w:val="20"/>
          <w:szCs w:val="20"/>
        </w:rPr>
        <w:t>e</w:t>
      </w:r>
      <w:r w:rsidR="00B827EA">
        <w:rPr>
          <w:rFonts w:ascii="Verdana" w:hAnsi="Verdana" w:cs="Verdana"/>
          <w:sz w:val="20"/>
          <w:szCs w:val="20"/>
        </w:rPr>
        <w:t xml:space="preserve">tición </w:t>
      </w:r>
      <w:r>
        <w:rPr>
          <w:rFonts w:ascii="Verdana" w:hAnsi="Verdana" w:cs="Verdana"/>
          <w:sz w:val="20"/>
          <w:szCs w:val="20"/>
        </w:rPr>
        <w:t>es un proyecto de ley, el que estaba, a ese momento</w:t>
      </w:r>
      <w:r w:rsidR="00786775">
        <w:rPr>
          <w:rFonts w:ascii="Verdana" w:hAnsi="Verdana" w:cs="Verdana"/>
          <w:sz w:val="20"/>
          <w:szCs w:val="20"/>
        </w:rPr>
        <w:t xml:space="preserve"> y todavía hoy</w:t>
      </w:r>
      <w:r>
        <w:rPr>
          <w:rFonts w:ascii="Verdana" w:hAnsi="Verdana" w:cs="Verdana"/>
          <w:sz w:val="20"/>
          <w:szCs w:val="20"/>
        </w:rPr>
        <w:t xml:space="preserve">, en tramitación y que, por lo tanto, podría alterarse en el transcurso </w:t>
      </w:r>
      <w:r w:rsidR="00DC0270">
        <w:rPr>
          <w:rFonts w:ascii="Verdana" w:hAnsi="Verdana" w:cs="Verdana"/>
          <w:sz w:val="20"/>
          <w:szCs w:val="20"/>
        </w:rPr>
        <w:t>de su</w:t>
      </w:r>
      <w:r>
        <w:rPr>
          <w:rFonts w:ascii="Verdana" w:hAnsi="Verdana" w:cs="Verdana"/>
          <w:sz w:val="20"/>
          <w:szCs w:val="20"/>
        </w:rPr>
        <w:t xml:space="preserve"> tr</w:t>
      </w:r>
      <w:r w:rsidR="00B827EA">
        <w:rPr>
          <w:rFonts w:ascii="Verdana" w:hAnsi="Verdana" w:cs="Verdana"/>
          <w:sz w:val="20"/>
          <w:szCs w:val="20"/>
        </w:rPr>
        <w:t>ámite legislativo y q</w:t>
      </w:r>
      <w:r w:rsidR="00747EC7">
        <w:rPr>
          <w:rFonts w:ascii="Verdana" w:hAnsi="Verdana" w:cs="Verdana"/>
          <w:sz w:val="20"/>
          <w:szCs w:val="20"/>
        </w:rPr>
        <w:t xml:space="preserve">ue contempla no solo la intervención del Parlamento sino también </w:t>
      </w:r>
      <w:r w:rsidR="00970C24">
        <w:rPr>
          <w:rFonts w:ascii="Verdana" w:hAnsi="Verdana" w:cs="Verdana"/>
          <w:sz w:val="20"/>
          <w:szCs w:val="20"/>
        </w:rPr>
        <w:t xml:space="preserve">la </w:t>
      </w:r>
      <w:r w:rsidR="00747EC7">
        <w:rPr>
          <w:rFonts w:ascii="Verdana" w:hAnsi="Verdana" w:cs="Verdana"/>
          <w:sz w:val="20"/>
          <w:szCs w:val="20"/>
        </w:rPr>
        <w:t>del Presidente de la República.</w:t>
      </w:r>
      <w:r w:rsidR="00592FDA">
        <w:rPr>
          <w:rFonts w:ascii="Verdana" w:hAnsi="Verdana" w:cs="Verdana"/>
          <w:sz w:val="20"/>
          <w:szCs w:val="20"/>
        </w:rPr>
        <w:t xml:space="preserve"> </w:t>
      </w:r>
      <w:r w:rsidR="00747EC7">
        <w:rPr>
          <w:rFonts w:ascii="Verdana" w:hAnsi="Verdana" w:cs="Verdana"/>
          <w:sz w:val="20"/>
          <w:szCs w:val="20"/>
        </w:rPr>
        <w:t xml:space="preserve">Era, por lo tanto, </w:t>
      </w:r>
      <w:r w:rsidR="009C40AD">
        <w:rPr>
          <w:rFonts w:ascii="Verdana" w:hAnsi="Verdana" w:cs="Verdana"/>
          <w:sz w:val="20"/>
          <w:szCs w:val="20"/>
        </w:rPr>
        <w:t>evidente que</w:t>
      </w:r>
      <w:r w:rsidR="00B62798" w:rsidRPr="00D84A52">
        <w:rPr>
          <w:rFonts w:ascii="Verdana" w:hAnsi="Verdana" w:cs="Arial"/>
          <w:sz w:val="20"/>
          <w:szCs w:val="20"/>
        </w:rPr>
        <w:t xml:space="preserve"> el requisito relativo a </w:t>
      </w:r>
      <w:r w:rsidR="009C40AD">
        <w:rPr>
          <w:rFonts w:ascii="Verdana" w:hAnsi="Verdana" w:cs="Arial"/>
          <w:sz w:val="20"/>
          <w:szCs w:val="20"/>
        </w:rPr>
        <w:t xml:space="preserve">la extrema gravedad no se cumplía al momento </w:t>
      </w:r>
      <w:r w:rsidR="00B827EA">
        <w:rPr>
          <w:rFonts w:ascii="Verdana" w:hAnsi="Verdana" w:cs="Arial"/>
          <w:sz w:val="20"/>
          <w:szCs w:val="20"/>
        </w:rPr>
        <w:t>de la Petición y tampoco en la actualidad</w:t>
      </w:r>
      <w:r w:rsidR="009C40AD">
        <w:rPr>
          <w:rFonts w:ascii="Verdana" w:hAnsi="Verdana" w:cs="Arial"/>
          <w:sz w:val="20"/>
          <w:szCs w:val="20"/>
        </w:rPr>
        <w:t xml:space="preserve">. </w:t>
      </w:r>
      <w:r w:rsidR="00B62798" w:rsidRPr="00D84A52">
        <w:rPr>
          <w:rFonts w:ascii="Verdana" w:hAnsi="Verdana" w:cs="Arial"/>
          <w:sz w:val="20"/>
          <w:szCs w:val="20"/>
        </w:rPr>
        <w:t>Y ello, dado</w:t>
      </w:r>
      <w:r w:rsidR="009C40AD">
        <w:rPr>
          <w:rFonts w:ascii="Verdana" w:hAnsi="Verdana" w:cs="Arial"/>
          <w:sz w:val="20"/>
          <w:szCs w:val="20"/>
        </w:rPr>
        <w:t xml:space="preserve"> que</w:t>
      </w:r>
      <w:r w:rsidR="00747EC7">
        <w:rPr>
          <w:rFonts w:ascii="Verdana" w:hAnsi="Verdana" w:cs="Arial"/>
          <w:sz w:val="20"/>
          <w:szCs w:val="20"/>
        </w:rPr>
        <w:t xml:space="preserve"> </w:t>
      </w:r>
      <w:r w:rsidR="009C40AD">
        <w:rPr>
          <w:rFonts w:ascii="Verdana" w:hAnsi="Verdana" w:cs="Arial"/>
          <w:sz w:val="20"/>
          <w:szCs w:val="20"/>
        </w:rPr>
        <w:t>no se estaba</w:t>
      </w:r>
      <w:r w:rsidR="00256442">
        <w:rPr>
          <w:rFonts w:ascii="Verdana" w:hAnsi="Verdana" w:cs="Arial"/>
          <w:sz w:val="20"/>
          <w:szCs w:val="20"/>
        </w:rPr>
        <w:t xml:space="preserve"> ni se está</w:t>
      </w:r>
      <w:r w:rsidR="009C40AD">
        <w:rPr>
          <w:rFonts w:ascii="Verdana" w:hAnsi="Verdana" w:cs="Arial"/>
          <w:sz w:val="20"/>
          <w:szCs w:val="20"/>
        </w:rPr>
        <w:t xml:space="preserve"> </w:t>
      </w:r>
      <w:r w:rsidR="00B62798" w:rsidRPr="00D84A52">
        <w:rPr>
          <w:rFonts w:ascii="Verdana" w:hAnsi="Verdana" w:cs="Arial"/>
          <w:sz w:val="20"/>
          <w:szCs w:val="20"/>
        </w:rPr>
        <w:t>ante</w:t>
      </w:r>
      <w:r w:rsidR="00DC0270">
        <w:rPr>
          <w:rFonts w:ascii="Verdana" w:hAnsi="Verdana" w:cs="Arial"/>
          <w:sz w:val="20"/>
          <w:szCs w:val="20"/>
        </w:rPr>
        <w:t xml:space="preserve"> una situación extrema, esto es</w:t>
      </w:r>
      <w:r w:rsidR="00B62798" w:rsidRPr="00D84A52">
        <w:rPr>
          <w:rFonts w:ascii="Verdana" w:hAnsi="Verdana" w:cs="Arial"/>
          <w:sz w:val="20"/>
          <w:szCs w:val="20"/>
        </w:rPr>
        <w:t xml:space="preserve">, </w:t>
      </w:r>
      <w:r w:rsidR="00747EC7">
        <w:rPr>
          <w:rFonts w:ascii="Verdana" w:hAnsi="Verdana" w:cs="Arial"/>
          <w:sz w:val="20"/>
          <w:szCs w:val="20"/>
        </w:rPr>
        <w:t>que se encontrare en su grado más intenso o elevado</w:t>
      </w:r>
      <w:r w:rsidR="00747EC7">
        <w:rPr>
          <w:rStyle w:val="Refdenotaalpie"/>
          <w:rFonts w:ascii="Verdana" w:hAnsi="Verdana" w:cs="Arial"/>
          <w:sz w:val="20"/>
          <w:szCs w:val="20"/>
        </w:rPr>
        <w:footnoteReference w:id="36"/>
      </w:r>
      <w:r w:rsidR="00747EC7">
        <w:rPr>
          <w:rFonts w:ascii="Verdana" w:hAnsi="Verdana" w:cs="Arial"/>
          <w:sz w:val="20"/>
          <w:szCs w:val="20"/>
        </w:rPr>
        <w:t xml:space="preserve"> o </w:t>
      </w:r>
      <w:r w:rsidR="00B62798" w:rsidRPr="00D84A52">
        <w:rPr>
          <w:rFonts w:ascii="Verdana" w:hAnsi="Verdana" w:cs="Arial"/>
          <w:sz w:val="20"/>
          <w:szCs w:val="20"/>
        </w:rPr>
        <w:t>en su límite o final</w:t>
      </w:r>
      <w:r w:rsidR="00B62798" w:rsidRPr="00D84A52">
        <w:rPr>
          <w:rStyle w:val="Refdenotaalpie"/>
          <w:rFonts w:ascii="Verdana" w:eastAsia="Arial Unicode MS" w:hAnsi="Verdana" w:cs="Arial Unicode MS"/>
          <w:spacing w:val="4"/>
          <w:sz w:val="20"/>
          <w:szCs w:val="20"/>
          <w:shd w:val="clear" w:color="auto" w:fill="FFFFFF"/>
        </w:rPr>
        <w:footnoteReference w:id="37"/>
      </w:r>
      <w:r w:rsidR="00747EC7">
        <w:rPr>
          <w:rFonts w:ascii="Verdana" w:eastAsia="Arial Unicode MS" w:hAnsi="Verdana" w:cs="Arial Unicode MS"/>
          <w:spacing w:val="4"/>
          <w:sz w:val="20"/>
          <w:szCs w:val="20"/>
          <w:shd w:val="clear" w:color="auto" w:fill="FFFFFF"/>
        </w:rPr>
        <w:t>.</w:t>
      </w:r>
      <w:r w:rsidR="00B62798" w:rsidRPr="00D84A52">
        <w:rPr>
          <w:rFonts w:ascii="Verdana" w:eastAsia="Arial Unicode MS" w:hAnsi="Verdana" w:cs="Arial Unicode MS"/>
          <w:spacing w:val="4"/>
          <w:sz w:val="20"/>
          <w:szCs w:val="20"/>
          <w:shd w:val="clear" w:color="auto" w:fill="FFFFFF"/>
        </w:rPr>
        <w:t xml:space="preserve"> </w:t>
      </w:r>
    </w:p>
    <w:p w14:paraId="717F4D51" w14:textId="77777777" w:rsidR="00DB41D3" w:rsidRDefault="00DB41D3" w:rsidP="006C334A">
      <w:pPr>
        <w:pStyle w:val="Default"/>
        <w:spacing w:after="100" w:afterAutospacing="1" w:line="276" w:lineRule="auto"/>
        <w:jc w:val="both"/>
        <w:rPr>
          <w:rFonts w:ascii="Verdana" w:eastAsia="Arial Unicode MS" w:hAnsi="Verdana" w:cs="Arial Unicode MS"/>
          <w:spacing w:val="4"/>
          <w:sz w:val="20"/>
          <w:szCs w:val="20"/>
          <w:shd w:val="clear" w:color="auto" w:fill="FFFFFF"/>
        </w:rPr>
      </w:pPr>
    </w:p>
    <w:p w14:paraId="43726E54" w14:textId="77777777" w:rsidR="00270319" w:rsidRDefault="00270319" w:rsidP="00F66A1E">
      <w:pPr>
        <w:pStyle w:val="Default"/>
        <w:numPr>
          <w:ilvl w:val="0"/>
          <w:numId w:val="14"/>
        </w:numPr>
        <w:spacing w:after="100" w:afterAutospacing="1" w:line="276" w:lineRule="auto"/>
        <w:ind w:left="360"/>
        <w:jc w:val="both"/>
        <w:rPr>
          <w:rFonts w:ascii="Verdana" w:eastAsiaTheme="minorHAnsi" w:hAnsi="Verdana" w:cs="Verdana"/>
          <w:b/>
          <w:sz w:val="20"/>
          <w:szCs w:val="20"/>
          <w:lang w:val="es-CL" w:eastAsia="en-US"/>
        </w:rPr>
      </w:pPr>
      <w:r w:rsidRPr="00270319">
        <w:rPr>
          <w:rFonts w:ascii="Verdana" w:eastAsia="Arial Unicode MS" w:hAnsi="Verdana" w:cs="Arial Unicode MS"/>
          <w:b/>
          <w:spacing w:val="4"/>
          <w:sz w:val="20"/>
          <w:szCs w:val="20"/>
          <w:shd w:val="clear" w:color="auto" w:fill="FFFFFF"/>
        </w:rPr>
        <w:lastRenderedPageBreak/>
        <w:t>Urgencia.</w:t>
      </w:r>
    </w:p>
    <w:p w14:paraId="17FF6742" w14:textId="0BE3E617" w:rsidR="00C916D5" w:rsidRPr="00B52D88" w:rsidRDefault="00747EC7" w:rsidP="00E32CDC">
      <w:pPr>
        <w:pStyle w:val="Default"/>
        <w:spacing w:after="100" w:afterAutospacing="1" w:line="276" w:lineRule="auto"/>
        <w:jc w:val="both"/>
        <w:rPr>
          <w:rFonts w:ascii="Verdana" w:eastAsiaTheme="minorHAnsi" w:hAnsi="Verdana" w:cs="Verdana"/>
          <w:b/>
          <w:sz w:val="20"/>
          <w:szCs w:val="20"/>
          <w:lang w:val="es-CL" w:eastAsia="en-US"/>
        </w:rPr>
      </w:pPr>
      <w:r w:rsidRPr="00270319">
        <w:rPr>
          <w:rFonts w:ascii="Verdana" w:eastAsia="Arial Unicode MS" w:hAnsi="Verdana" w:cs="Arial Unicode MS"/>
          <w:spacing w:val="4"/>
          <w:sz w:val="20"/>
          <w:szCs w:val="20"/>
          <w:shd w:val="clear" w:color="auto" w:fill="FFFFFF"/>
        </w:rPr>
        <w:t xml:space="preserve">En lo concerniente al requisito de la </w:t>
      </w:r>
      <w:r w:rsidR="00B62798" w:rsidRPr="00270319">
        <w:rPr>
          <w:rFonts w:ascii="Verdana" w:eastAsia="Arial Unicode MS" w:hAnsi="Verdana" w:cs="Arial Unicode MS"/>
          <w:spacing w:val="4"/>
          <w:sz w:val="20"/>
          <w:szCs w:val="20"/>
          <w:shd w:val="clear" w:color="auto" w:fill="FFFFFF"/>
        </w:rPr>
        <w:t>urgen</w:t>
      </w:r>
      <w:r w:rsidR="00AD3525">
        <w:rPr>
          <w:rFonts w:ascii="Verdana" w:eastAsia="Arial Unicode MS" w:hAnsi="Verdana" w:cs="Arial Unicode MS"/>
          <w:spacing w:val="4"/>
          <w:sz w:val="20"/>
          <w:szCs w:val="20"/>
          <w:shd w:val="clear" w:color="auto" w:fill="FFFFFF"/>
        </w:rPr>
        <w:t>cia</w:t>
      </w:r>
      <w:r w:rsidR="00B62798" w:rsidRPr="00270319">
        <w:rPr>
          <w:rFonts w:ascii="Verdana" w:eastAsia="Arial Unicode MS" w:hAnsi="Verdana" w:cs="Arial Unicode MS"/>
          <w:spacing w:val="4"/>
          <w:sz w:val="20"/>
          <w:szCs w:val="20"/>
          <w:shd w:val="clear" w:color="auto" w:fill="FFFFFF"/>
        </w:rPr>
        <w:t xml:space="preserve">, </w:t>
      </w:r>
      <w:r w:rsidR="007A376F">
        <w:rPr>
          <w:rFonts w:ascii="Verdana" w:eastAsia="Arial Unicode MS" w:hAnsi="Verdana" w:cs="Arial Unicode MS"/>
          <w:spacing w:val="4"/>
          <w:sz w:val="20"/>
          <w:szCs w:val="20"/>
          <w:shd w:val="clear" w:color="auto" w:fill="FFFFFF"/>
        </w:rPr>
        <w:t>considerando lo recién transcrito de la Resolución</w:t>
      </w:r>
      <w:r w:rsidR="00B52D88">
        <w:rPr>
          <w:rFonts w:ascii="Verdana" w:eastAsia="Arial Unicode MS" w:hAnsi="Verdana" w:cs="Arial Unicode MS"/>
          <w:spacing w:val="4"/>
          <w:sz w:val="20"/>
          <w:szCs w:val="20"/>
          <w:shd w:val="clear" w:color="auto" w:fill="FFFFFF"/>
        </w:rPr>
        <w:t xml:space="preserve">, </w:t>
      </w:r>
      <w:r w:rsidR="0017144F">
        <w:rPr>
          <w:rFonts w:ascii="Verdana" w:eastAsia="Arial Unicode MS" w:hAnsi="Verdana" w:cs="Arial Unicode MS"/>
          <w:spacing w:val="4"/>
          <w:sz w:val="20"/>
          <w:szCs w:val="20"/>
          <w:shd w:val="clear" w:color="auto" w:fill="FFFFFF"/>
        </w:rPr>
        <w:t>ciertamente r</w:t>
      </w:r>
      <w:r w:rsidR="00B827EA">
        <w:rPr>
          <w:rFonts w:ascii="Verdana" w:eastAsia="Arial Unicode MS" w:hAnsi="Verdana" w:cs="Arial Unicode MS"/>
          <w:spacing w:val="4"/>
          <w:sz w:val="20"/>
          <w:szCs w:val="20"/>
          <w:shd w:val="clear" w:color="auto" w:fill="FFFFFF"/>
        </w:rPr>
        <w:t>esulta sorprendente que la Petición</w:t>
      </w:r>
      <w:r w:rsidR="006274E0">
        <w:rPr>
          <w:rFonts w:ascii="Verdana" w:eastAsia="Arial Unicode MS" w:hAnsi="Verdana" w:cs="Arial Unicode MS"/>
          <w:spacing w:val="4"/>
          <w:sz w:val="20"/>
          <w:szCs w:val="20"/>
          <w:shd w:val="clear" w:color="auto" w:fill="FFFFFF"/>
        </w:rPr>
        <w:t xml:space="preserve"> haya estimado </w:t>
      </w:r>
      <w:r w:rsidR="003E1B12">
        <w:rPr>
          <w:rFonts w:ascii="Verdana" w:eastAsia="Arial Unicode MS" w:hAnsi="Verdana" w:cs="Arial Unicode MS"/>
          <w:spacing w:val="4"/>
          <w:sz w:val="20"/>
          <w:szCs w:val="20"/>
          <w:shd w:val="clear" w:color="auto" w:fill="FFFFFF"/>
        </w:rPr>
        <w:t xml:space="preserve">que la eventual rápida </w:t>
      </w:r>
      <w:r w:rsidR="00217E76">
        <w:rPr>
          <w:rFonts w:ascii="Verdana" w:eastAsia="Arial Unicode MS" w:hAnsi="Verdana" w:cs="Arial Unicode MS"/>
          <w:spacing w:val="4"/>
          <w:sz w:val="20"/>
          <w:szCs w:val="20"/>
          <w:shd w:val="clear" w:color="auto" w:fill="FFFFFF"/>
        </w:rPr>
        <w:t>tramitación de un proyecto de ley en una de sus fases de tal proceso, sea</w:t>
      </w:r>
      <w:r w:rsidR="00CA22AD">
        <w:rPr>
          <w:rFonts w:ascii="Verdana" w:eastAsia="Arial Unicode MS" w:hAnsi="Verdana" w:cs="Arial Unicode MS"/>
          <w:spacing w:val="4"/>
          <w:sz w:val="20"/>
          <w:szCs w:val="20"/>
          <w:shd w:val="clear" w:color="auto" w:fill="FFFFFF"/>
        </w:rPr>
        <w:t>,</w:t>
      </w:r>
      <w:r w:rsidR="00217E76">
        <w:rPr>
          <w:rFonts w:ascii="Verdana" w:eastAsia="Arial Unicode MS" w:hAnsi="Verdana" w:cs="Arial Unicode MS"/>
          <w:spacing w:val="4"/>
          <w:sz w:val="20"/>
          <w:szCs w:val="20"/>
          <w:shd w:val="clear" w:color="auto" w:fill="FFFFFF"/>
        </w:rPr>
        <w:t xml:space="preserve"> </w:t>
      </w:r>
      <w:r w:rsidR="00C916D5">
        <w:rPr>
          <w:rFonts w:ascii="Verdana" w:eastAsia="Arial Unicode MS" w:hAnsi="Verdana" w:cs="Arial Unicode MS"/>
          <w:i/>
          <w:spacing w:val="4"/>
          <w:sz w:val="20"/>
          <w:szCs w:val="20"/>
          <w:shd w:val="clear" w:color="auto" w:fill="FFFFFF"/>
        </w:rPr>
        <w:t>per se</w:t>
      </w:r>
      <w:r w:rsidR="00CA22AD">
        <w:rPr>
          <w:rFonts w:ascii="Verdana" w:eastAsia="Arial Unicode MS" w:hAnsi="Verdana" w:cs="Arial Unicode MS"/>
          <w:i/>
          <w:spacing w:val="4"/>
          <w:sz w:val="20"/>
          <w:szCs w:val="20"/>
          <w:shd w:val="clear" w:color="auto" w:fill="FFFFFF"/>
        </w:rPr>
        <w:t>,</w:t>
      </w:r>
      <w:r w:rsidR="00C916D5">
        <w:rPr>
          <w:rFonts w:ascii="Verdana" w:eastAsia="Arial Unicode MS" w:hAnsi="Verdana" w:cs="Arial Unicode MS"/>
          <w:i/>
          <w:spacing w:val="4"/>
          <w:sz w:val="20"/>
          <w:szCs w:val="20"/>
          <w:shd w:val="clear" w:color="auto" w:fill="FFFFFF"/>
        </w:rPr>
        <w:t xml:space="preserve"> </w:t>
      </w:r>
      <w:r w:rsidR="00217E76">
        <w:rPr>
          <w:rFonts w:ascii="Verdana" w:eastAsia="Arial Unicode MS" w:hAnsi="Verdana" w:cs="Arial Unicode MS"/>
          <w:spacing w:val="4"/>
          <w:sz w:val="20"/>
          <w:szCs w:val="20"/>
          <w:shd w:val="clear" w:color="auto" w:fill="FFFFFF"/>
        </w:rPr>
        <w:t xml:space="preserve">motivo suficiente para estimar que ello </w:t>
      </w:r>
      <w:r w:rsidR="00C916D5">
        <w:rPr>
          <w:rFonts w:ascii="Verdana" w:eastAsia="Arial Unicode MS" w:hAnsi="Verdana" w:cs="Arial Unicode MS"/>
          <w:spacing w:val="4"/>
          <w:sz w:val="20"/>
          <w:szCs w:val="20"/>
          <w:shd w:val="clear" w:color="auto" w:fill="FFFFFF"/>
        </w:rPr>
        <w:t>impone una respuesta inmediata</w:t>
      </w:r>
      <w:r w:rsidR="00C916D5">
        <w:rPr>
          <w:rStyle w:val="Refdenotaalpie"/>
          <w:rFonts w:ascii="Verdana" w:eastAsia="Arial Unicode MS" w:hAnsi="Verdana" w:cs="Arial Unicode MS"/>
          <w:spacing w:val="4"/>
          <w:sz w:val="20"/>
          <w:szCs w:val="20"/>
          <w:shd w:val="clear" w:color="auto" w:fill="FFFFFF"/>
        </w:rPr>
        <w:footnoteReference w:id="38"/>
      </w:r>
      <w:r w:rsidR="00947641">
        <w:rPr>
          <w:rFonts w:ascii="Verdana" w:eastAsia="Arial Unicode MS" w:hAnsi="Verdana" w:cs="Arial Unicode MS"/>
          <w:spacing w:val="4"/>
          <w:sz w:val="20"/>
          <w:szCs w:val="20"/>
          <w:shd w:val="clear" w:color="auto" w:fill="FFFFFF"/>
        </w:rPr>
        <w:t xml:space="preserve">, sin proporcionar, </w:t>
      </w:r>
      <w:r w:rsidR="0017144F">
        <w:rPr>
          <w:rFonts w:ascii="Verdana" w:eastAsia="Arial Unicode MS" w:hAnsi="Verdana" w:cs="Arial Unicode MS"/>
          <w:spacing w:val="4"/>
          <w:sz w:val="20"/>
          <w:szCs w:val="20"/>
          <w:shd w:val="clear" w:color="auto" w:fill="FFFFFF"/>
        </w:rPr>
        <w:t>al efecto</w:t>
      </w:r>
      <w:r w:rsidR="00947641">
        <w:rPr>
          <w:rFonts w:ascii="Verdana" w:eastAsia="Arial Unicode MS" w:hAnsi="Verdana" w:cs="Arial Unicode MS"/>
          <w:spacing w:val="4"/>
          <w:sz w:val="20"/>
          <w:szCs w:val="20"/>
          <w:shd w:val="clear" w:color="auto" w:fill="FFFFFF"/>
        </w:rPr>
        <w:t>,</w:t>
      </w:r>
      <w:r w:rsidR="0017144F">
        <w:rPr>
          <w:rFonts w:ascii="Verdana" w:eastAsia="Arial Unicode MS" w:hAnsi="Verdana" w:cs="Arial Unicode MS"/>
          <w:spacing w:val="4"/>
          <w:sz w:val="20"/>
          <w:szCs w:val="20"/>
          <w:shd w:val="clear" w:color="auto" w:fill="FFFFFF"/>
        </w:rPr>
        <w:t xml:space="preserve"> parámetro alguno para determinar esa premura</w:t>
      </w:r>
      <w:r w:rsidR="00CD30BE">
        <w:rPr>
          <w:rFonts w:ascii="Verdana" w:eastAsia="Arial Unicode MS" w:hAnsi="Verdana" w:cs="Arial Unicode MS"/>
          <w:spacing w:val="4"/>
          <w:sz w:val="20"/>
          <w:szCs w:val="20"/>
          <w:shd w:val="clear" w:color="auto" w:fill="FFFFFF"/>
        </w:rPr>
        <w:t>.</w:t>
      </w:r>
    </w:p>
    <w:p w14:paraId="3C29182F" w14:textId="77777777" w:rsidR="0041275A" w:rsidRPr="002000EC" w:rsidRDefault="002000EC" w:rsidP="00D4486E">
      <w:pPr>
        <w:pStyle w:val="Default"/>
        <w:spacing w:after="100" w:afterAutospacing="1" w:line="276" w:lineRule="auto"/>
        <w:jc w:val="both"/>
        <w:rPr>
          <w:rFonts w:ascii="Verdana" w:eastAsia="Arial Unicode MS" w:hAnsi="Verdana" w:cs="Arial Unicode MS"/>
          <w:spacing w:val="4"/>
          <w:sz w:val="20"/>
          <w:szCs w:val="20"/>
          <w:shd w:val="clear" w:color="auto" w:fill="FFFFFF"/>
        </w:rPr>
      </w:pPr>
      <w:r>
        <w:rPr>
          <w:rFonts w:ascii="Verdana" w:eastAsia="Arial Unicode MS" w:hAnsi="Verdana" w:cs="Arial Unicode MS"/>
          <w:spacing w:val="4"/>
          <w:sz w:val="20"/>
          <w:szCs w:val="20"/>
          <w:shd w:val="clear" w:color="auto" w:fill="FFFFFF"/>
        </w:rPr>
        <w:t xml:space="preserve">Por lo expuesto, </w:t>
      </w:r>
      <w:r w:rsidR="00947641">
        <w:rPr>
          <w:rFonts w:ascii="Verdana" w:eastAsia="Arial Unicode MS" w:hAnsi="Verdana" w:cs="Arial Unicode MS"/>
          <w:spacing w:val="4"/>
          <w:sz w:val="20"/>
          <w:szCs w:val="20"/>
          <w:shd w:val="clear" w:color="auto" w:fill="FFFFFF"/>
        </w:rPr>
        <w:t>podría considerarse que el requisito de la urgencia tampoco se cumplí</w:t>
      </w:r>
      <w:r w:rsidR="00B827EA">
        <w:rPr>
          <w:rFonts w:ascii="Verdana" w:eastAsia="Arial Unicode MS" w:hAnsi="Verdana" w:cs="Arial Unicode MS"/>
          <w:spacing w:val="4"/>
          <w:sz w:val="20"/>
          <w:szCs w:val="20"/>
          <w:shd w:val="clear" w:color="auto" w:fill="FFFFFF"/>
        </w:rPr>
        <w:t>a al momento de la Petición</w:t>
      </w:r>
      <w:r>
        <w:rPr>
          <w:rFonts w:ascii="Verdana" w:eastAsia="Arial Unicode MS" w:hAnsi="Verdana" w:cs="Arial Unicode MS"/>
          <w:spacing w:val="4"/>
          <w:sz w:val="20"/>
          <w:szCs w:val="20"/>
          <w:shd w:val="clear" w:color="auto" w:fill="FFFFFF"/>
        </w:rPr>
        <w:t xml:space="preserve"> y menos todavía al día de hoy, habida cuenta el tiempo transcurrido, sin que la situación haya variado</w:t>
      </w:r>
      <w:r w:rsidR="0041275A">
        <w:rPr>
          <w:rFonts w:ascii="Verdana" w:eastAsia="Arial Unicode MS" w:hAnsi="Verdana" w:cs="Arial Unicode MS"/>
          <w:spacing w:val="4"/>
          <w:sz w:val="20"/>
          <w:szCs w:val="20"/>
          <w:shd w:val="clear" w:color="auto" w:fill="FFFFFF"/>
        </w:rPr>
        <w:t>.</w:t>
      </w:r>
    </w:p>
    <w:p w14:paraId="0F918850" w14:textId="77777777" w:rsidR="00270319" w:rsidRPr="00270319" w:rsidRDefault="00270319" w:rsidP="00812F35">
      <w:pPr>
        <w:pStyle w:val="Default"/>
        <w:numPr>
          <w:ilvl w:val="0"/>
          <w:numId w:val="14"/>
        </w:numPr>
        <w:spacing w:line="276" w:lineRule="auto"/>
        <w:ind w:left="360"/>
        <w:jc w:val="both"/>
        <w:rPr>
          <w:rFonts w:ascii="Verdana" w:hAnsi="Verdana" w:cs="Verdana"/>
          <w:b/>
          <w:sz w:val="20"/>
          <w:szCs w:val="20"/>
        </w:rPr>
      </w:pPr>
      <w:r w:rsidRPr="00270319">
        <w:rPr>
          <w:rFonts w:ascii="Verdana" w:eastAsia="Arial Unicode MS" w:hAnsi="Verdana" w:cs="Arial Unicode MS"/>
          <w:b/>
          <w:spacing w:val="4"/>
          <w:sz w:val="20"/>
          <w:szCs w:val="20"/>
          <w:shd w:val="clear" w:color="auto" w:fill="FFFFFF"/>
        </w:rPr>
        <w:t>Daño irreparable.</w:t>
      </w:r>
    </w:p>
    <w:p w14:paraId="5D27123E" w14:textId="77777777" w:rsidR="00270319" w:rsidRPr="00270319" w:rsidRDefault="00270319" w:rsidP="00D4486E">
      <w:pPr>
        <w:pStyle w:val="Default"/>
        <w:spacing w:line="276" w:lineRule="auto"/>
        <w:jc w:val="both"/>
        <w:rPr>
          <w:rFonts w:ascii="Verdana" w:hAnsi="Verdana" w:cs="Verdana"/>
          <w:sz w:val="20"/>
          <w:szCs w:val="20"/>
        </w:rPr>
      </w:pPr>
    </w:p>
    <w:p w14:paraId="3EF3C2AB" w14:textId="40FEBE2C" w:rsidR="00BB7635" w:rsidRDefault="00270319" w:rsidP="00BB7635">
      <w:pPr>
        <w:pStyle w:val="Default"/>
        <w:spacing w:after="100" w:afterAutospacing="1" w:line="276" w:lineRule="auto"/>
        <w:jc w:val="both"/>
        <w:rPr>
          <w:rFonts w:ascii="Verdana" w:hAnsi="Verdana" w:cs="Verdana"/>
          <w:sz w:val="20"/>
          <w:szCs w:val="20"/>
        </w:rPr>
      </w:pPr>
      <w:r>
        <w:rPr>
          <w:rFonts w:ascii="Verdana" w:eastAsia="Arial Unicode MS" w:hAnsi="Verdana" w:cs="Arial Unicode MS"/>
          <w:spacing w:val="4"/>
          <w:sz w:val="20"/>
          <w:szCs w:val="20"/>
          <w:shd w:val="clear" w:color="auto" w:fill="FFFFFF"/>
        </w:rPr>
        <w:t>En lo pertinente</w:t>
      </w:r>
      <w:r w:rsidR="0017144F">
        <w:rPr>
          <w:rFonts w:ascii="Verdana" w:eastAsia="Arial Unicode MS" w:hAnsi="Verdana" w:cs="Arial Unicode MS"/>
          <w:spacing w:val="4"/>
          <w:sz w:val="20"/>
          <w:szCs w:val="20"/>
          <w:shd w:val="clear" w:color="auto" w:fill="FFFFFF"/>
        </w:rPr>
        <w:t xml:space="preserve"> al</w:t>
      </w:r>
      <w:r w:rsidR="0017144F" w:rsidRPr="0017144F">
        <w:rPr>
          <w:rFonts w:ascii="Verdana" w:hAnsi="Verdana" w:cs="Verdana"/>
        </w:rPr>
        <w:t xml:space="preserve"> </w:t>
      </w:r>
      <w:r w:rsidR="0017144F" w:rsidRPr="0017144F">
        <w:rPr>
          <w:rFonts w:ascii="Verdana" w:hAnsi="Verdana" w:cs="Verdana"/>
          <w:sz w:val="20"/>
          <w:szCs w:val="20"/>
        </w:rPr>
        <w:t>requisito de irreparabilidad del dañ</w:t>
      </w:r>
      <w:r w:rsidR="00947641">
        <w:rPr>
          <w:rFonts w:ascii="Verdana" w:hAnsi="Verdana" w:cs="Verdana"/>
          <w:sz w:val="20"/>
          <w:szCs w:val="20"/>
        </w:rPr>
        <w:t xml:space="preserve">o, </w:t>
      </w:r>
      <w:r w:rsidR="00BB7635">
        <w:rPr>
          <w:rFonts w:ascii="Verdana" w:hAnsi="Verdana" w:cs="Verdana"/>
          <w:sz w:val="20"/>
          <w:szCs w:val="20"/>
        </w:rPr>
        <w:t xml:space="preserve">aludido en la Petición, </w:t>
      </w:r>
      <w:r w:rsidR="009835A3">
        <w:rPr>
          <w:rFonts w:ascii="Verdana" w:hAnsi="Verdana" w:cs="Verdana"/>
          <w:sz w:val="20"/>
          <w:szCs w:val="20"/>
        </w:rPr>
        <w:t>procede reiterar</w:t>
      </w:r>
      <w:r w:rsidR="00BB7635">
        <w:rPr>
          <w:rFonts w:ascii="Verdana" w:hAnsi="Verdana" w:cs="Verdana"/>
          <w:sz w:val="20"/>
          <w:szCs w:val="20"/>
        </w:rPr>
        <w:t xml:space="preserve"> el carácter hipotético de aquél, esto es, que</w:t>
      </w:r>
      <w:r w:rsidR="009835A3">
        <w:rPr>
          <w:rFonts w:ascii="Verdana" w:hAnsi="Verdana" w:cs="Verdana"/>
          <w:sz w:val="20"/>
          <w:szCs w:val="20"/>
        </w:rPr>
        <w:t xml:space="preserve"> la ley que lo provocaría no era aún tal. </w:t>
      </w:r>
    </w:p>
    <w:p w14:paraId="287FF469" w14:textId="10450AC6" w:rsidR="009835A3" w:rsidRDefault="00571A73" w:rsidP="00BB7635">
      <w:pPr>
        <w:pStyle w:val="Default"/>
        <w:spacing w:after="100" w:afterAutospacing="1" w:line="276" w:lineRule="auto"/>
        <w:jc w:val="both"/>
        <w:rPr>
          <w:rFonts w:ascii="Verdana" w:hAnsi="Verdana" w:cs="Verdana"/>
          <w:sz w:val="20"/>
          <w:szCs w:val="20"/>
        </w:rPr>
      </w:pPr>
      <w:r>
        <w:rPr>
          <w:rFonts w:ascii="Verdana" w:hAnsi="Verdana" w:cs="Verdana"/>
          <w:sz w:val="20"/>
          <w:szCs w:val="20"/>
        </w:rPr>
        <w:t>E</w:t>
      </w:r>
      <w:r w:rsidR="00BB7635">
        <w:rPr>
          <w:rFonts w:ascii="Verdana" w:hAnsi="Verdana" w:cs="Verdana"/>
          <w:sz w:val="20"/>
          <w:szCs w:val="20"/>
        </w:rPr>
        <w:t xml:space="preserve">s decir, </w:t>
      </w:r>
      <w:r>
        <w:rPr>
          <w:rFonts w:ascii="Verdana" w:hAnsi="Verdana" w:cs="Verdana"/>
          <w:sz w:val="20"/>
          <w:szCs w:val="20"/>
        </w:rPr>
        <w:t xml:space="preserve">ni la Petición ni la Resolución </w:t>
      </w:r>
      <w:r w:rsidR="00BB7635">
        <w:rPr>
          <w:rFonts w:ascii="Verdana" w:hAnsi="Verdana" w:cs="Verdana"/>
          <w:sz w:val="20"/>
          <w:szCs w:val="20"/>
        </w:rPr>
        <w:t>expresa</w:t>
      </w:r>
      <w:r>
        <w:rPr>
          <w:rFonts w:ascii="Verdana" w:hAnsi="Verdana" w:cs="Verdana"/>
          <w:sz w:val="20"/>
          <w:szCs w:val="20"/>
        </w:rPr>
        <w:t>n</w:t>
      </w:r>
      <w:r w:rsidR="009835A3">
        <w:rPr>
          <w:rFonts w:ascii="Verdana" w:hAnsi="Verdana" w:cs="Verdana"/>
          <w:sz w:val="20"/>
          <w:szCs w:val="20"/>
        </w:rPr>
        <w:t xml:space="preserve"> que un “proyecto de ley”</w:t>
      </w:r>
      <w:r w:rsidR="00CF64F7">
        <w:rPr>
          <w:rFonts w:ascii="Verdana" w:hAnsi="Verdana" w:cs="Verdana"/>
          <w:sz w:val="20"/>
          <w:szCs w:val="20"/>
        </w:rPr>
        <w:t xml:space="preserve"> provoca ese daño. </w:t>
      </w:r>
      <w:r>
        <w:rPr>
          <w:rFonts w:ascii="Verdana" w:hAnsi="Verdana" w:cs="Verdana"/>
          <w:sz w:val="20"/>
          <w:szCs w:val="20"/>
        </w:rPr>
        <w:t xml:space="preserve">Lo que indican es que la ley que se promulgue podría ocasionarlo. </w:t>
      </w:r>
      <w:r w:rsidR="001908D2">
        <w:rPr>
          <w:rFonts w:ascii="Verdana" w:hAnsi="Verdana" w:cs="Verdana"/>
          <w:sz w:val="20"/>
          <w:szCs w:val="20"/>
        </w:rPr>
        <w:t xml:space="preserve">Y </w:t>
      </w:r>
      <w:r>
        <w:rPr>
          <w:rFonts w:ascii="Verdana" w:hAnsi="Verdana" w:cs="Verdana"/>
          <w:sz w:val="20"/>
          <w:szCs w:val="20"/>
        </w:rPr>
        <w:t xml:space="preserve">el proyecto de ley en cuestión aún no se ha </w:t>
      </w:r>
      <w:r w:rsidR="001908D2">
        <w:rPr>
          <w:rFonts w:ascii="Verdana" w:hAnsi="Verdana" w:cs="Verdana"/>
          <w:sz w:val="20"/>
          <w:szCs w:val="20"/>
        </w:rPr>
        <w:t xml:space="preserve">transformado en ley. </w:t>
      </w:r>
    </w:p>
    <w:p w14:paraId="4FD03543" w14:textId="03D49C67" w:rsidR="00CF64F7" w:rsidRDefault="00CF64F7" w:rsidP="00D4486E">
      <w:pPr>
        <w:pStyle w:val="Default"/>
        <w:spacing w:line="276" w:lineRule="auto"/>
        <w:jc w:val="both"/>
        <w:rPr>
          <w:rFonts w:ascii="Verdana" w:hAnsi="Verdana" w:cs="Verdana"/>
          <w:sz w:val="20"/>
          <w:szCs w:val="20"/>
        </w:rPr>
      </w:pPr>
      <w:r>
        <w:rPr>
          <w:rFonts w:ascii="Verdana" w:hAnsi="Verdana" w:cs="Verdana"/>
          <w:sz w:val="20"/>
          <w:szCs w:val="20"/>
        </w:rPr>
        <w:t xml:space="preserve">Por otra parte, es </w:t>
      </w:r>
      <w:r w:rsidR="00BB7635">
        <w:rPr>
          <w:rFonts w:ascii="Verdana" w:hAnsi="Verdana" w:cs="Verdana"/>
          <w:sz w:val="20"/>
          <w:szCs w:val="20"/>
        </w:rPr>
        <w:t xml:space="preserve">asimismo </w:t>
      </w:r>
      <w:r>
        <w:rPr>
          <w:rFonts w:ascii="Verdana" w:hAnsi="Verdana" w:cs="Verdana"/>
          <w:sz w:val="20"/>
          <w:szCs w:val="20"/>
        </w:rPr>
        <w:t>del caso señalar, además de insistir en que el proyecto de ley en cuestión puede ser modificado durante su tramitación legislativa y, por tanto, despojarlo de los elementos que podr</w:t>
      </w:r>
      <w:r w:rsidR="00BB7635">
        <w:rPr>
          <w:rFonts w:ascii="Verdana" w:hAnsi="Verdana" w:cs="Verdana"/>
          <w:sz w:val="20"/>
          <w:szCs w:val="20"/>
        </w:rPr>
        <w:t>ían provocar daños irreparables</w:t>
      </w:r>
      <w:r>
        <w:rPr>
          <w:rFonts w:ascii="Verdana" w:hAnsi="Verdana" w:cs="Verdana"/>
          <w:sz w:val="20"/>
          <w:szCs w:val="20"/>
        </w:rPr>
        <w:t xml:space="preserve">, </w:t>
      </w:r>
      <w:r w:rsidR="00BB7635">
        <w:rPr>
          <w:rFonts w:ascii="Verdana" w:hAnsi="Verdana" w:cs="Verdana"/>
          <w:sz w:val="20"/>
          <w:szCs w:val="20"/>
        </w:rPr>
        <w:t xml:space="preserve">que </w:t>
      </w:r>
      <w:r>
        <w:rPr>
          <w:rFonts w:ascii="Verdana" w:hAnsi="Verdana" w:cs="Verdana"/>
          <w:sz w:val="20"/>
          <w:szCs w:val="20"/>
        </w:rPr>
        <w:t>la ley que consecuentemente se promulgue podría, frente a casos que sean sometidos ante los jueces nacionales competentes, ser objeto de un control de convencionalidad y, eventualmente, impedir que produzcan los daños, al menos en cuant</w:t>
      </w:r>
      <w:r w:rsidR="00BB7635">
        <w:rPr>
          <w:rFonts w:ascii="Verdana" w:hAnsi="Verdana" w:cs="Verdana"/>
          <w:sz w:val="20"/>
          <w:szCs w:val="20"/>
        </w:rPr>
        <w:t>o esos casos, que se presumen</w:t>
      </w:r>
      <w:r>
        <w:rPr>
          <w:rFonts w:ascii="Verdana" w:hAnsi="Verdana" w:cs="Verdana"/>
          <w:sz w:val="20"/>
          <w:szCs w:val="20"/>
        </w:rPr>
        <w:t>.</w:t>
      </w:r>
    </w:p>
    <w:p w14:paraId="0198325F" w14:textId="77777777" w:rsidR="00CF64F7" w:rsidRDefault="00CF64F7" w:rsidP="00D4486E">
      <w:pPr>
        <w:pStyle w:val="Default"/>
        <w:spacing w:line="276" w:lineRule="auto"/>
        <w:jc w:val="both"/>
        <w:rPr>
          <w:rFonts w:ascii="Verdana" w:hAnsi="Verdana" w:cs="Verdana"/>
          <w:sz w:val="20"/>
          <w:szCs w:val="20"/>
        </w:rPr>
      </w:pPr>
    </w:p>
    <w:p w14:paraId="46D1109F" w14:textId="77777777" w:rsidR="00A45C93" w:rsidRPr="00F25F7E" w:rsidRDefault="00CF64F7" w:rsidP="00D4486E">
      <w:pPr>
        <w:pStyle w:val="Default"/>
        <w:spacing w:after="100" w:afterAutospacing="1" w:line="276" w:lineRule="auto"/>
        <w:jc w:val="both"/>
        <w:rPr>
          <w:rFonts w:ascii="Verdana" w:hAnsi="Verdana" w:cs="Verdana"/>
          <w:sz w:val="20"/>
          <w:szCs w:val="20"/>
        </w:rPr>
      </w:pPr>
      <w:r>
        <w:rPr>
          <w:rFonts w:ascii="Verdana" w:hAnsi="Verdana" w:cs="Verdana"/>
          <w:sz w:val="20"/>
          <w:szCs w:val="20"/>
        </w:rPr>
        <w:t>En definitiva, por ende, el requisito de la irreparabilid</w:t>
      </w:r>
      <w:r w:rsidR="00BB7635">
        <w:rPr>
          <w:rFonts w:ascii="Verdana" w:hAnsi="Verdana" w:cs="Verdana"/>
          <w:sz w:val="20"/>
          <w:szCs w:val="20"/>
        </w:rPr>
        <w:t>ad del daño no se cumple</w:t>
      </w:r>
      <w:r w:rsidR="001908D2">
        <w:rPr>
          <w:rFonts w:ascii="Verdana" w:hAnsi="Verdana" w:cs="Verdana"/>
          <w:sz w:val="20"/>
          <w:szCs w:val="20"/>
        </w:rPr>
        <w:t>.</w:t>
      </w:r>
    </w:p>
    <w:p w14:paraId="5D7780BF" w14:textId="7A110263" w:rsidR="000B7C79" w:rsidRDefault="00F25F7E" w:rsidP="00D4486E">
      <w:pPr>
        <w:pStyle w:val="Default"/>
        <w:spacing w:after="100" w:afterAutospacing="1" w:line="276" w:lineRule="auto"/>
        <w:jc w:val="both"/>
        <w:rPr>
          <w:rFonts w:ascii="Verdana" w:hAnsi="Verdana" w:cs="Verdana"/>
          <w:sz w:val="20"/>
          <w:szCs w:val="20"/>
        </w:rPr>
      </w:pPr>
      <w:r>
        <w:rPr>
          <w:rFonts w:ascii="Verdana" w:hAnsi="Verdana" w:cs="Verdana"/>
          <w:sz w:val="20"/>
          <w:szCs w:val="20"/>
        </w:rPr>
        <w:t xml:space="preserve">Es, pues, evidente que la Resolución al limitarse a señalar </w:t>
      </w:r>
      <w:r w:rsidR="00CF64F7">
        <w:rPr>
          <w:rFonts w:ascii="Verdana" w:hAnsi="Verdana" w:cs="Verdana"/>
          <w:i/>
          <w:sz w:val="20"/>
          <w:szCs w:val="20"/>
        </w:rPr>
        <w:t>“</w:t>
      </w:r>
      <w:r w:rsidR="00CF64F7" w:rsidRPr="0090700C">
        <w:rPr>
          <w:rFonts w:ascii="Verdana" w:hAnsi="Verdana" w:cs="Verdana"/>
          <w:i/>
          <w:sz w:val="20"/>
          <w:szCs w:val="20"/>
        </w:rPr>
        <w:t>que no se dan los presupuestos que existieron al momento en que el Presidente ordenó medidas urgentes”</w:t>
      </w:r>
      <w:r w:rsidR="00CF64F7">
        <w:rPr>
          <w:rStyle w:val="Refdenotaalpie"/>
          <w:rFonts w:ascii="Verdana" w:hAnsi="Verdana" w:cs="Verdana"/>
          <w:i/>
          <w:sz w:val="20"/>
          <w:szCs w:val="20"/>
        </w:rPr>
        <w:footnoteReference w:id="39"/>
      </w:r>
      <w:r w:rsidR="000B7C79">
        <w:rPr>
          <w:rFonts w:ascii="Verdana" w:hAnsi="Verdana" w:cs="Verdana"/>
          <w:i/>
          <w:sz w:val="20"/>
          <w:szCs w:val="20"/>
        </w:rPr>
        <w:t xml:space="preserve">, </w:t>
      </w:r>
      <w:r>
        <w:rPr>
          <w:rFonts w:ascii="Verdana" w:hAnsi="Verdana" w:cs="Verdana"/>
          <w:sz w:val="20"/>
          <w:szCs w:val="20"/>
        </w:rPr>
        <w:t xml:space="preserve">se autolimitó y no aprovechó la oportunidad para justificar su decisión de </w:t>
      </w:r>
      <w:r w:rsidR="00C21EEC">
        <w:rPr>
          <w:rFonts w:ascii="Verdana" w:hAnsi="Verdana" w:cs="Verdana"/>
          <w:sz w:val="20"/>
          <w:szCs w:val="20"/>
        </w:rPr>
        <w:t xml:space="preserve">no </w:t>
      </w:r>
      <w:r>
        <w:rPr>
          <w:rFonts w:ascii="Verdana" w:hAnsi="Verdana" w:cs="Verdana"/>
          <w:sz w:val="20"/>
          <w:szCs w:val="20"/>
        </w:rPr>
        <w:t xml:space="preserve">conceder las medidas provisionales solicitadas en la no ocurrencia de </w:t>
      </w:r>
      <w:r w:rsidR="000B7C79">
        <w:rPr>
          <w:rFonts w:ascii="Verdana" w:hAnsi="Verdana" w:cs="Verdana"/>
          <w:sz w:val="20"/>
          <w:szCs w:val="20"/>
        </w:rPr>
        <w:t>los requisitos de</w:t>
      </w:r>
      <w:r w:rsidR="002000EC">
        <w:rPr>
          <w:rFonts w:ascii="Verdana" w:hAnsi="Verdana" w:cs="Verdana"/>
          <w:sz w:val="20"/>
          <w:szCs w:val="20"/>
        </w:rPr>
        <w:t xml:space="preserve"> </w:t>
      </w:r>
      <w:r w:rsidR="00743612">
        <w:rPr>
          <w:rFonts w:ascii="Verdana" w:hAnsi="Verdana" w:cs="Verdana"/>
          <w:sz w:val="20"/>
          <w:szCs w:val="20"/>
        </w:rPr>
        <w:t>“</w:t>
      </w:r>
      <w:r w:rsidR="002000EC">
        <w:rPr>
          <w:rFonts w:ascii="Verdana" w:hAnsi="Verdana" w:cs="Verdana"/>
          <w:sz w:val="20"/>
          <w:szCs w:val="20"/>
        </w:rPr>
        <w:t>no vinculación con el caso”</w:t>
      </w:r>
      <w:r w:rsidR="000B7C79">
        <w:rPr>
          <w:rFonts w:ascii="Verdana" w:hAnsi="Verdana" w:cs="Verdana"/>
          <w:sz w:val="20"/>
          <w:szCs w:val="20"/>
        </w:rPr>
        <w:t xml:space="preserve"> “extrema gravedad”, “urgencia” e “irreparabilidad del daño”</w:t>
      </w:r>
      <w:r>
        <w:rPr>
          <w:rFonts w:ascii="Verdana" w:hAnsi="Verdana" w:cs="Verdana"/>
          <w:sz w:val="20"/>
          <w:szCs w:val="20"/>
        </w:rPr>
        <w:t>,</w:t>
      </w:r>
      <w:r w:rsidR="000B7C79">
        <w:rPr>
          <w:rFonts w:ascii="Verdana" w:hAnsi="Verdana" w:cs="Verdana"/>
          <w:sz w:val="20"/>
          <w:szCs w:val="20"/>
        </w:rPr>
        <w:t xml:space="preserve"> </w:t>
      </w:r>
      <w:r w:rsidR="00743612">
        <w:rPr>
          <w:rFonts w:ascii="Verdana" w:hAnsi="Verdana" w:cs="Verdana"/>
          <w:sz w:val="20"/>
          <w:szCs w:val="20"/>
        </w:rPr>
        <w:t>lo</w:t>
      </w:r>
      <w:r>
        <w:rPr>
          <w:rFonts w:ascii="Verdana" w:hAnsi="Verdana" w:cs="Verdana"/>
          <w:sz w:val="20"/>
          <w:szCs w:val="20"/>
        </w:rPr>
        <w:t xml:space="preserve"> que persiste</w:t>
      </w:r>
      <w:r w:rsidR="000B7C79">
        <w:rPr>
          <w:rFonts w:ascii="Verdana" w:hAnsi="Verdana" w:cs="Verdana"/>
          <w:sz w:val="20"/>
          <w:szCs w:val="20"/>
        </w:rPr>
        <w:t xml:space="preserve"> hasta hoy, esto es, </w:t>
      </w:r>
      <w:r w:rsidR="009831C8">
        <w:rPr>
          <w:rFonts w:ascii="Verdana" w:hAnsi="Verdana" w:cs="Verdana"/>
          <w:sz w:val="20"/>
          <w:szCs w:val="20"/>
        </w:rPr>
        <w:t xml:space="preserve">la situación atingente a </w:t>
      </w:r>
      <w:r w:rsidR="000B7C79">
        <w:rPr>
          <w:rFonts w:ascii="Verdana" w:hAnsi="Verdana" w:cs="Verdana"/>
          <w:sz w:val="20"/>
          <w:szCs w:val="20"/>
        </w:rPr>
        <w:t>l</w:t>
      </w:r>
      <w:r w:rsidR="009831C8">
        <w:rPr>
          <w:rFonts w:ascii="Verdana" w:hAnsi="Verdana" w:cs="Verdana"/>
          <w:sz w:val="20"/>
          <w:szCs w:val="20"/>
        </w:rPr>
        <w:t>os referidos presupuestos no ha</w:t>
      </w:r>
      <w:r w:rsidR="000B7C79">
        <w:rPr>
          <w:rFonts w:ascii="Verdana" w:hAnsi="Verdana" w:cs="Verdana"/>
          <w:sz w:val="20"/>
          <w:szCs w:val="20"/>
        </w:rPr>
        <w:t xml:space="preserve"> variado.</w:t>
      </w:r>
    </w:p>
    <w:p w14:paraId="082B1A66" w14:textId="77777777" w:rsidR="00DB41D3" w:rsidRDefault="00DB41D3" w:rsidP="00D4486E">
      <w:pPr>
        <w:pStyle w:val="Default"/>
        <w:spacing w:after="100" w:afterAutospacing="1" w:line="276" w:lineRule="auto"/>
        <w:jc w:val="both"/>
        <w:rPr>
          <w:rFonts w:ascii="Verdana" w:hAnsi="Verdana" w:cs="Verdana"/>
          <w:sz w:val="20"/>
          <w:szCs w:val="20"/>
        </w:rPr>
      </w:pPr>
    </w:p>
    <w:p w14:paraId="4C9314A6" w14:textId="77777777" w:rsidR="00F66A1E" w:rsidRPr="00BB7635" w:rsidRDefault="00F66A1E" w:rsidP="00F66A1E">
      <w:pPr>
        <w:pStyle w:val="Prrafodelista"/>
        <w:numPr>
          <w:ilvl w:val="0"/>
          <w:numId w:val="12"/>
        </w:numPr>
        <w:spacing w:after="100" w:afterAutospacing="1"/>
        <w:ind w:left="360"/>
        <w:rPr>
          <w:rFonts w:ascii="Verdana" w:hAnsi="Verdana"/>
          <w:b/>
          <w:sz w:val="20"/>
          <w:szCs w:val="20"/>
        </w:rPr>
      </w:pPr>
      <w:r>
        <w:rPr>
          <w:rFonts w:ascii="Verdana" w:eastAsia="Calibri" w:hAnsi="Verdana" w:cs="Times New Roman"/>
          <w:b/>
          <w:sz w:val="20"/>
          <w:szCs w:val="20"/>
          <w:lang w:val="es-ES"/>
        </w:rPr>
        <w:lastRenderedPageBreak/>
        <w:t>U</w:t>
      </w:r>
      <w:r w:rsidRPr="00BB7635">
        <w:rPr>
          <w:rFonts w:ascii="Verdana" w:eastAsia="Calibri" w:hAnsi="Verdana" w:cs="Times New Roman"/>
          <w:b/>
          <w:sz w:val="20"/>
          <w:szCs w:val="20"/>
          <w:lang w:val="es-ES"/>
        </w:rPr>
        <w:t>na nueva obligación no prevista en la sentencia.</w:t>
      </w:r>
    </w:p>
    <w:p w14:paraId="418C0869" w14:textId="77777777" w:rsidR="00F66A1E" w:rsidRDefault="00F66A1E" w:rsidP="00F66A1E">
      <w:pPr>
        <w:pStyle w:val="Default"/>
        <w:spacing w:after="100" w:afterAutospacing="1" w:line="276" w:lineRule="auto"/>
        <w:jc w:val="both"/>
        <w:rPr>
          <w:rFonts w:ascii="Verdana" w:eastAsiaTheme="minorEastAsia" w:hAnsi="Verdana"/>
          <w:sz w:val="20"/>
          <w:szCs w:val="20"/>
          <w:lang w:val="es-PR"/>
        </w:rPr>
      </w:pPr>
      <w:r>
        <w:rPr>
          <w:rFonts w:ascii="Verdana" w:hAnsi="Verdana"/>
          <w:sz w:val="20"/>
          <w:szCs w:val="20"/>
        </w:rPr>
        <w:t xml:space="preserve">Otro motivo por el que </w:t>
      </w:r>
      <w:r w:rsidRPr="00270319">
        <w:rPr>
          <w:rFonts w:ascii="Verdana" w:eastAsiaTheme="minorEastAsia" w:hAnsi="Verdana"/>
          <w:sz w:val="20"/>
          <w:szCs w:val="20"/>
          <w:lang w:val="es-PR"/>
        </w:rPr>
        <w:t xml:space="preserve">se disiente de la </w:t>
      </w:r>
      <w:r>
        <w:rPr>
          <w:rFonts w:ascii="Verdana" w:eastAsiaTheme="minorEastAsia" w:hAnsi="Verdana"/>
          <w:sz w:val="20"/>
          <w:szCs w:val="20"/>
          <w:lang w:val="es-PR"/>
        </w:rPr>
        <w:t>Resolución es que ella dice relación con</w:t>
      </w:r>
      <w:r w:rsidRPr="00270319">
        <w:rPr>
          <w:rFonts w:ascii="Verdana" w:eastAsiaTheme="minorEastAsia" w:hAnsi="Verdana"/>
          <w:sz w:val="20"/>
          <w:szCs w:val="20"/>
          <w:lang w:val="es-PR"/>
        </w:rPr>
        <w:t xml:space="preserve"> una nueva obligación, no prevista en l</w:t>
      </w:r>
      <w:r>
        <w:rPr>
          <w:rFonts w:ascii="Verdana" w:eastAsiaTheme="minorEastAsia" w:hAnsi="Verdana"/>
          <w:sz w:val="20"/>
          <w:szCs w:val="20"/>
          <w:lang w:val="es-PR"/>
        </w:rPr>
        <w:t>a Sentencia. Dicha nueva obligación fue incluida en la Petición</w:t>
      </w:r>
      <w:r>
        <w:rPr>
          <w:rStyle w:val="Refdenotaalpie"/>
          <w:rFonts w:ascii="Verdana" w:eastAsiaTheme="minorEastAsia" w:hAnsi="Verdana"/>
          <w:sz w:val="20"/>
          <w:szCs w:val="20"/>
          <w:lang w:val="es-PR"/>
        </w:rPr>
        <w:footnoteReference w:id="40"/>
      </w:r>
      <w:r>
        <w:rPr>
          <w:rFonts w:ascii="Verdana" w:eastAsiaTheme="minorEastAsia" w:hAnsi="Verdana"/>
          <w:sz w:val="20"/>
          <w:szCs w:val="20"/>
          <w:lang w:val="es-PR"/>
        </w:rPr>
        <w:t>.</w:t>
      </w:r>
    </w:p>
    <w:p w14:paraId="342B7166" w14:textId="77777777" w:rsidR="00F66A1E" w:rsidRPr="00BB7635" w:rsidRDefault="00F66A1E" w:rsidP="00F66A1E">
      <w:pPr>
        <w:pStyle w:val="Default"/>
        <w:spacing w:after="100" w:afterAutospacing="1" w:line="276" w:lineRule="auto"/>
        <w:jc w:val="both"/>
        <w:rPr>
          <w:rFonts w:ascii="Verdana" w:eastAsiaTheme="minorEastAsia" w:hAnsi="Verdana"/>
          <w:sz w:val="20"/>
          <w:szCs w:val="20"/>
          <w:lang w:val="es-PR"/>
        </w:rPr>
      </w:pPr>
      <w:r w:rsidRPr="00BB7635">
        <w:rPr>
          <w:rFonts w:ascii="Verdana" w:hAnsi="Verdana"/>
          <w:sz w:val="20"/>
          <w:szCs w:val="20"/>
        </w:rPr>
        <w:t>Efectivamente, mientras la Sentencia dispuso una obligación en cuanto a la Ley de Amnistía General para la Consolidación de la Paz, la que, como se señaló, se ha dado por cumplida, en la Petición requirieron que se “</w:t>
      </w:r>
      <w:r w:rsidRPr="00BB7635">
        <w:rPr>
          <w:rFonts w:ascii="Verdana" w:hAnsi="Verdana"/>
          <w:i/>
          <w:sz w:val="20"/>
          <w:szCs w:val="20"/>
        </w:rPr>
        <w:t>ordene al Estado de El Salvador interrumpir el trámite legislativo de la iniciativa de Ley de Reconciliación Nacional en comento</w:t>
      </w:r>
      <w:r w:rsidRPr="00BB7635">
        <w:rPr>
          <w:rFonts w:ascii="Verdana" w:hAnsi="Verdana"/>
          <w:sz w:val="20"/>
          <w:szCs w:val="20"/>
        </w:rPr>
        <w:t>”</w:t>
      </w:r>
      <w:r w:rsidRPr="00BB7635">
        <w:rPr>
          <w:rStyle w:val="Refdenotaalpie"/>
          <w:rFonts w:ascii="Verdana" w:hAnsi="Verdana"/>
          <w:sz w:val="20"/>
          <w:szCs w:val="20"/>
        </w:rPr>
        <w:footnoteReference w:id="41"/>
      </w:r>
      <w:r w:rsidRPr="00BB7635">
        <w:rPr>
          <w:rFonts w:ascii="Verdana" w:hAnsi="Verdana"/>
          <w:sz w:val="20"/>
          <w:szCs w:val="20"/>
        </w:rPr>
        <w:t>.</w:t>
      </w:r>
    </w:p>
    <w:p w14:paraId="01AA13F3" w14:textId="77777777" w:rsidR="00F66A1E" w:rsidRDefault="00F66A1E" w:rsidP="00F66A1E">
      <w:pPr>
        <w:spacing w:after="100" w:afterAutospacing="1"/>
        <w:ind w:left="0"/>
        <w:rPr>
          <w:rFonts w:ascii="Verdana" w:hAnsi="Verdana"/>
          <w:sz w:val="20"/>
          <w:szCs w:val="20"/>
        </w:rPr>
      </w:pPr>
      <w:r w:rsidRPr="00D84A52">
        <w:rPr>
          <w:rFonts w:ascii="Verdana" w:hAnsi="Verdana"/>
          <w:sz w:val="20"/>
          <w:szCs w:val="20"/>
        </w:rPr>
        <w:t>Obviame</w:t>
      </w:r>
      <w:r>
        <w:rPr>
          <w:rFonts w:ascii="Verdana" w:hAnsi="Verdana"/>
          <w:sz w:val="20"/>
          <w:szCs w:val="20"/>
        </w:rPr>
        <w:t>nte, de acogerse lo requerido en la Petición, implicaba que se le impusiera</w:t>
      </w:r>
      <w:r w:rsidRPr="00D84A52">
        <w:rPr>
          <w:rFonts w:ascii="Verdana" w:hAnsi="Verdana"/>
          <w:sz w:val="20"/>
          <w:szCs w:val="20"/>
        </w:rPr>
        <w:t xml:space="preserve"> al Estado una nueva obligación, no prevista en la Sentencia, con lo que</w:t>
      </w:r>
      <w:r>
        <w:rPr>
          <w:rFonts w:ascii="Verdana" w:hAnsi="Verdana"/>
          <w:sz w:val="20"/>
          <w:szCs w:val="20"/>
        </w:rPr>
        <w:t>, por lo demás, se afectaría</w:t>
      </w:r>
      <w:r w:rsidRPr="00D84A52">
        <w:rPr>
          <w:rFonts w:ascii="Verdana" w:hAnsi="Verdana"/>
          <w:sz w:val="20"/>
          <w:szCs w:val="20"/>
        </w:rPr>
        <w:t xml:space="preserve"> su valor de cosa juzgada que tiene también respecto de la propia Corte. </w:t>
      </w:r>
    </w:p>
    <w:p w14:paraId="74CC0619" w14:textId="77777777" w:rsidR="00F66A1E" w:rsidRDefault="00F66A1E" w:rsidP="00F66A1E">
      <w:pPr>
        <w:spacing w:after="100" w:afterAutospacing="1"/>
        <w:ind w:left="0"/>
        <w:rPr>
          <w:rFonts w:ascii="Verdana" w:hAnsi="Verdana"/>
          <w:sz w:val="20"/>
          <w:szCs w:val="20"/>
        </w:rPr>
      </w:pPr>
      <w:r>
        <w:rPr>
          <w:rFonts w:ascii="Verdana" w:hAnsi="Verdana"/>
          <w:sz w:val="20"/>
          <w:szCs w:val="20"/>
        </w:rPr>
        <w:t>Es éste, pues, otro relevante motivo que la Resolución debería haber considerado para rechazar la Petición, lo que, empero, no fue considerado.</w:t>
      </w:r>
    </w:p>
    <w:p w14:paraId="5212EF75" w14:textId="77777777" w:rsidR="00F66A1E" w:rsidRPr="009077E5" w:rsidRDefault="00F66A1E" w:rsidP="00F66A1E">
      <w:pPr>
        <w:pStyle w:val="Prrafodelista"/>
        <w:numPr>
          <w:ilvl w:val="0"/>
          <w:numId w:val="12"/>
        </w:numPr>
        <w:spacing w:after="100" w:afterAutospacing="1"/>
        <w:ind w:left="360"/>
        <w:rPr>
          <w:rFonts w:ascii="Verdana" w:hAnsi="Verdana"/>
          <w:sz w:val="20"/>
          <w:szCs w:val="20"/>
        </w:rPr>
      </w:pPr>
      <w:r>
        <w:rPr>
          <w:rFonts w:ascii="Verdana" w:hAnsi="Verdana"/>
          <w:b/>
          <w:sz w:val="20"/>
          <w:szCs w:val="20"/>
        </w:rPr>
        <w:t>Asunto sometido a la jurisdicción nacional.</w:t>
      </w:r>
    </w:p>
    <w:p w14:paraId="3B7942FB" w14:textId="0E80CA40" w:rsidR="00F66A1E" w:rsidRDefault="00F66A1E" w:rsidP="00F66A1E">
      <w:pPr>
        <w:ind w:left="0"/>
        <w:rPr>
          <w:rFonts w:ascii="Verdana" w:hAnsi="Verdana"/>
          <w:sz w:val="20"/>
          <w:szCs w:val="20"/>
          <w:lang w:val="es-ES"/>
        </w:rPr>
      </w:pPr>
      <w:r>
        <w:rPr>
          <w:rFonts w:ascii="Verdana" w:hAnsi="Verdana"/>
          <w:sz w:val="20"/>
          <w:szCs w:val="20"/>
        </w:rPr>
        <w:t>Por otra parte, no se comparte la Resolución en atención a que no consideró, al denegar la Petición,</w:t>
      </w:r>
      <w:r>
        <w:rPr>
          <w:rFonts w:ascii="Verdana" w:hAnsi="Verdana" w:cs="Verdana"/>
          <w:sz w:val="20"/>
          <w:szCs w:val="20"/>
          <w:lang w:val="es-CR"/>
        </w:rPr>
        <w:t xml:space="preserve"> que el asunto a</w:t>
      </w:r>
      <w:r w:rsidR="008C4CBE">
        <w:rPr>
          <w:rFonts w:ascii="Verdana" w:hAnsi="Verdana" w:cs="Verdana"/>
          <w:sz w:val="20"/>
          <w:szCs w:val="20"/>
          <w:lang w:val="es-CR"/>
        </w:rPr>
        <w:t>l</w:t>
      </w:r>
      <w:r>
        <w:rPr>
          <w:rFonts w:ascii="Verdana" w:hAnsi="Verdana" w:cs="Verdana"/>
          <w:sz w:val="20"/>
          <w:szCs w:val="20"/>
          <w:lang w:val="es-CR"/>
        </w:rPr>
        <w:t xml:space="preserve">  que se refiere está sometido a la jurisdicción nacional.</w:t>
      </w:r>
    </w:p>
    <w:p w14:paraId="360B6B1B" w14:textId="77777777" w:rsidR="00F66A1E" w:rsidRDefault="00F66A1E" w:rsidP="00F66A1E">
      <w:pPr>
        <w:ind w:left="0"/>
        <w:rPr>
          <w:rFonts w:ascii="Verdana" w:hAnsi="Verdana"/>
          <w:sz w:val="20"/>
          <w:szCs w:val="20"/>
          <w:lang w:val="es-ES"/>
        </w:rPr>
      </w:pPr>
    </w:p>
    <w:p w14:paraId="6F18AF11" w14:textId="77777777" w:rsidR="00F66A1E" w:rsidRDefault="00F66A1E" w:rsidP="00F66A1E">
      <w:pPr>
        <w:ind w:left="0"/>
        <w:rPr>
          <w:rFonts w:ascii="Verdana" w:hAnsi="Verdana"/>
          <w:sz w:val="20"/>
          <w:szCs w:val="20"/>
          <w:lang w:val="es-ES"/>
        </w:rPr>
      </w:pPr>
      <w:r>
        <w:rPr>
          <w:rFonts w:ascii="Verdana" w:hAnsi="Verdana"/>
          <w:sz w:val="20"/>
          <w:szCs w:val="20"/>
          <w:lang w:val="es-ES"/>
        </w:rPr>
        <w:t>Efectivamente, en atención al principio de derecho público de que solo se puede hacer lo que la norma indique, es evidente que no procede que la Corte intervenga en un proceso legislativo, particularmente de Estados democráticos, en vista de evitar que un proyecto de ley se transforme en ley o que lo sea en los términos que ella objeta. Y no corresponde, pues en tal hipótesis, la Corte se transformaría en colegislador.</w:t>
      </w:r>
    </w:p>
    <w:p w14:paraId="21010B39" w14:textId="77777777" w:rsidR="00F66A1E" w:rsidRDefault="00F66A1E" w:rsidP="00F66A1E">
      <w:pPr>
        <w:ind w:left="0"/>
        <w:rPr>
          <w:rFonts w:ascii="Verdana" w:hAnsi="Verdana"/>
          <w:sz w:val="20"/>
          <w:szCs w:val="20"/>
          <w:lang w:val="es-ES"/>
        </w:rPr>
      </w:pPr>
    </w:p>
    <w:p w14:paraId="401860D9" w14:textId="72836A73" w:rsidR="00F66A1E" w:rsidRDefault="00F66A1E" w:rsidP="00F66A1E">
      <w:pPr>
        <w:spacing w:after="100" w:afterAutospacing="1"/>
        <w:ind w:left="0"/>
        <w:rPr>
          <w:rFonts w:ascii="Verdana" w:hAnsi="Verdana"/>
          <w:i/>
          <w:sz w:val="20"/>
          <w:szCs w:val="20"/>
        </w:rPr>
      </w:pPr>
      <w:r>
        <w:rPr>
          <w:rFonts w:ascii="Verdana" w:hAnsi="Verdana"/>
          <w:sz w:val="20"/>
          <w:szCs w:val="20"/>
          <w:lang w:val="es-ES"/>
        </w:rPr>
        <w:t xml:space="preserve">Pero, lo mismo podría ocurrir si interviniera en un proceso judicial. </w:t>
      </w:r>
      <w:r>
        <w:rPr>
          <w:rFonts w:ascii="Verdana" w:hAnsi="Verdana" w:cs="Arial"/>
          <w:color w:val="000000"/>
          <w:sz w:val="20"/>
          <w:szCs w:val="20"/>
        </w:rPr>
        <w:t>Si la Corte interviniese en una causa judicial seguida en un Estado parte de la Convención, dejaría de ser una jurisdicción coadyuvante y complementaria a la jurisdicción nacional</w:t>
      </w:r>
      <w:r>
        <w:rPr>
          <w:rStyle w:val="Refdenotaalpie"/>
          <w:rFonts w:ascii="Verdana" w:hAnsi="Verdana" w:cs="Arial"/>
          <w:color w:val="000000"/>
          <w:sz w:val="20"/>
          <w:szCs w:val="20"/>
        </w:rPr>
        <w:footnoteReference w:id="42"/>
      </w:r>
      <w:r>
        <w:rPr>
          <w:rFonts w:ascii="Verdana" w:hAnsi="Verdana" w:cs="Arial"/>
          <w:color w:val="000000"/>
          <w:sz w:val="20"/>
          <w:szCs w:val="20"/>
        </w:rPr>
        <w:t xml:space="preserve">, transformándose en sustitutiva de esta última. </w:t>
      </w:r>
      <w:r>
        <w:rPr>
          <w:rFonts w:ascii="Verdana" w:hAnsi="Verdana"/>
          <w:sz w:val="20"/>
          <w:szCs w:val="20"/>
          <w:lang w:val="es-ES"/>
        </w:rPr>
        <w:t xml:space="preserve">Cabe tener presente que la causa de la Masacres de </w:t>
      </w:r>
      <w:r w:rsidR="008C4CBE">
        <w:rPr>
          <w:rFonts w:ascii="Verdana" w:hAnsi="Verdana"/>
          <w:sz w:val="20"/>
          <w:szCs w:val="20"/>
          <w:lang w:val="es-ES"/>
        </w:rPr>
        <w:t>E</w:t>
      </w:r>
      <w:r>
        <w:rPr>
          <w:rFonts w:ascii="Verdana" w:hAnsi="Verdana"/>
          <w:sz w:val="20"/>
          <w:szCs w:val="20"/>
          <w:lang w:val="es-ES"/>
        </w:rPr>
        <w:t xml:space="preserve">l Mozote </w:t>
      </w:r>
      <w:r w:rsidRPr="00D84A52">
        <w:rPr>
          <w:rFonts w:ascii="Verdana" w:hAnsi="Verdana"/>
          <w:i/>
          <w:sz w:val="20"/>
          <w:szCs w:val="20"/>
        </w:rPr>
        <w:t>se encuentra en trámite ante la justicia salvadoreña</w:t>
      </w:r>
      <w:r>
        <w:rPr>
          <w:rFonts w:ascii="Verdana" w:hAnsi="Verdana"/>
          <w:i/>
          <w:sz w:val="20"/>
          <w:szCs w:val="20"/>
        </w:rPr>
        <w:t>.</w:t>
      </w:r>
    </w:p>
    <w:p w14:paraId="78A06CA7" w14:textId="77777777" w:rsidR="00DB41D3" w:rsidRDefault="00DB41D3" w:rsidP="00F66A1E">
      <w:pPr>
        <w:spacing w:after="100" w:afterAutospacing="1"/>
        <w:ind w:left="0"/>
        <w:rPr>
          <w:rFonts w:ascii="Verdana" w:hAnsi="Verdana"/>
          <w:i/>
          <w:sz w:val="20"/>
          <w:szCs w:val="20"/>
        </w:rPr>
      </w:pPr>
    </w:p>
    <w:p w14:paraId="3D754C50" w14:textId="77777777" w:rsidR="00DB41D3" w:rsidRPr="00EF0233" w:rsidRDefault="00DB41D3" w:rsidP="00F66A1E">
      <w:pPr>
        <w:spacing w:after="100" w:afterAutospacing="1"/>
        <w:ind w:left="0"/>
        <w:rPr>
          <w:rFonts w:ascii="Verdana" w:hAnsi="Verdana"/>
          <w:sz w:val="20"/>
          <w:szCs w:val="20"/>
          <w:lang w:val="es-ES"/>
        </w:rPr>
      </w:pPr>
    </w:p>
    <w:p w14:paraId="02484831" w14:textId="77777777" w:rsidR="007B64B1" w:rsidRPr="00F66A1E" w:rsidRDefault="00812F35" w:rsidP="00F66A1E">
      <w:pPr>
        <w:pStyle w:val="Default"/>
        <w:numPr>
          <w:ilvl w:val="0"/>
          <w:numId w:val="12"/>
        </w:numPr>
        <w:spacing w:after="100" w:afterAutospacing="1" w:line="276" w:lineRule="auto"/>
        <w:ind w:left="360"/>
        <w:jc w:val="both"/>
        <w:rPr>
          <w:rFonts w:ascii="Verdana" w:hAnsi="Verdana" w:cs="Verdana"/>
          <w:color w:val="auto"/>
          <w:sz w:val="20"/>
          <w:szCs w:val="20"/>
        </w:rPr>
      </w:pPr>
      <w:r w:rsidRPr="00F66A1E">
        <w:rPr>
          <w:rFonts w:ascii="Verdana" w:eastAsia="Calibri" w:hAnsi="Verdana"/>
          <w:b/>
          <w:sz w:val="20"/>
          <w:szCs w:val="20"/>
          <w:lang w:val="es-ES"/>
        </w:rPr>
        <w:lastRenderedPageBreak/>
        <w:t>Normas procesales concernientes a las medidas provisionales.</w:t>
      </w:r>
    </w:p>
    <w:p w14:paraId="2A062DBC" w14:textId="77777777" w:rsidR="005A32EA" w:rsidRDefault="005F1AAD" w:rsidP="00D4486E">
      <w:pPr>
        <w:pStyle w:val="Default"/>
        <w:spacing w:after="100" w:afterAutospacing="1" w:line="276" w:lineRule="auto"/>
        <w:jc w:val="both"/>
        <w:rPr>
          <w:rFonts w:ascii="Verdana" w:hAnsi="Verdana"/>
          <w:sz w:val="20"/>
          <w:szCs w:val="20"/>
        </w:rPr>
      </w:pPr>
      <w:r w:rsidRPr="005A32EA">
        <w:rPr>
          <w:rFonts w:ascii="Verdana" w:hAnsi="Verdana"/>
          <w:sz w:val="20"/>
          <w:szCs w:val="20"/>
        </w:rPr>
        <w:t>A</w:t>
      </w:r>
      <w:r w:rsidR="005A32EA">
        <w:rPr>
          <w:rFonts w:ascii="Verdana" w:hAnsi="Verdana"/>
          <w:sz w:val="20"/>
          <w:szCs w:val="20"/>
        </w:rPr>
        <w:t xml:space="preserve"> todo lo precedentemente </w:t>
      </w:r>
      <w:r w:rsidR="00A74FE4" w:rsidRPr="005A32EA">
        <w:rPr>
          <w:rFonts w:ascii="Verdana" w:hAnsi="Verdana"/>
          <w:sz w:val="20"/>
          <w:szCs w:val="20"/>
        </w:rPr>
        <w:t>expuesto</w:t>
      </w:r>
      <w:r w:rsidRPr="005A32EA">
        <w:rPr>
          <w:rFonts w:ascii="Verdana" w:hAnsi="Verdana"/>
          <w:sz w:val="20"/>
          <w:szCs w:val="20"/>
        </w:rPr>
        <w:t xml:space="preserve"> habría</w:t>
      </w:r>
      <w:r w:rsidR="00F66A1E">
        <w:rPr>
          <w:rFonts w:ascii="Verdana" w:hAnsi="Verdana"/>
          <w:sz w:val="20"/>
          <w:szCs w:val="20"/>
        </w:rPr>
        <w:t xml:space="preserve"> </w:t>
      </w:r>
      <w:r w:rsidRPr="005A32EA">
        <w:rPr>
          <w:rFonts w:ascii="Verdana" w:hAnsi="Verdana"/>
          <w:sz w:val="20"/>
          <w:szCs w:val="20"/>
        </w:rPr>
        <w:t xml:space="preserve"> que agregar</w:t>
      </w:r>
      <w:r w:rsidR="00F66A1E">
        <w:rPr>
          <w:rFonts w:ascii="Verdana" w:hAnsi="Verdana"/>
          <w:sz w:val="20"/>
          <w:szCs w:val="20"/>
        </w:rPr>
        <w:t>,</w:t>
      </w:r>
      <w:r w:rsidRPr="005A32EA">
        <w:rPr>
          <w:rFonts w:ascii="Verdana" w:hAnsi="Verdana"/>
          <w:sz w:val="20"/>
          <w:szCs w:val="20"/>
        </w:rPr>
        <w:t xml:space="preserve"> </w:t>
      </w:r>
      <w:r w:rsidR="00F66A1E">
        <w:rPr>
          <w:rFonts w:ascii="Verdana" w:hAnsi="Verdana"/>
          <w:sz w:val="20"/>
          <w:szCs w:val="20"/>
        </w:rPr>
        <w:t xml:space="preserve">finalmente, </w:t>
      </w:r>
      <w:r w:rsidRPr="005A32EA">
        <w:rPr>
          <w:rFonts w:ascii="Verdana" w:hAnsi="Verdana"/>
          <w:sz w:val="20"/>
          <w:szCs w:val="20"/>
        </w:rPr>
        <w:t xml:space="preserve">que </w:t>
      </w:r>
      <w:r w:rsidR="005711E3" w:rsidRPr="005A32EA">
        <w:rPr>
          <w:rFonts w:ascii="Verdana" w:hAnsi="Verdana"/>
          <w:sz w:val="20"/>
          <w:szCs w:val="20"/>
        </w:rPr>
        <w:t>el Sistema Interamericano de Derechos H</w:t>
      </w:r>
      <w:r w:rsidR="00072095" w:rsidRPr="005A32EA">
        <w:rPr>
          <w:rFonts w:ascii="Verdana" w:hAnsi="Verdana"/>
          <w:sz w:val="20"/>
          <w:szCs w:val="20"/>
        </w:rPr>
        <w:t>umanos prevé la forma de proceder en situaciones como la de autos</w:t>
      </w:r>
      <w:r w:rsidR="005A32EA">
        <w:rPr>
          <w:rFonts w:ascii="Verdana" w:hAnsi="Verdana"/>
          <w:sz w:val="20"/>
          <w:szCs w:val="20"/>
        </w:rPr>
        <w:t>, lo que, empero, no se respetó.</w:t>
      </w:r>
    </w:p>
    <w:p w14:paraId="4A154609" w14:textId="6D00C9C3" w:rsidR="00C5087A" w:rsidRDefault="00E0740A" w:rsidP="00D4486E">
      <w:pPr>
        <w:pStyle w:val="Default"/>
        <w:spacing w:after="100" w:afterAutospacing="1" w:line="276" w:lineRule="auto"/>
        <w:jc w:val="both"/>
        <w:rPr>
          <w:rFonts w:ascii="Verdana" w:eastAsiaTheme="minorEastAsia" w:hAnsi="Verdana" w:cs="Tahoma"/>
          <w:sz w:val="20"/>
          <w:szCs w:val="20"/>
        </w:rPr>
      </w:pPr>
      <w:r w:rsidRPr="005A32EA">
        <w:rPr>
          <w:rFonts w:ascii="Verdana" w:hAnsi="Verdana"/>
          <w:sz w:val="20"/>
          <w:szCs w:val="20"/>
        </w:rPr>
        <w:t xml:space="preserve">En efecto, </w:t>
      </w:r>
      <w:r w:rsidR="00C5087A" w:rsidRPr="005A32EA">
        <w:rPr>
          <w:rFonts w:ascii="Verdana" w:eastAsiaTheme="minorEastAsia" w:hAnsi="Verdana" w:cs="Tahoma"/>
          <w:sz w:val="20"/>
          <w:szCs w:val="20"/>
        </w:rPr>
        <w:t>de la interpretación armónica de los dos numerales del artículo 6</w:t>
      </w:r>
      <w:r w:rsidRPr="005A32EA">
        <w:rPr>
          <w:rFonts w:ascii="Verdana" w:eastAsiaTheme="minorEastAsia" w:hAnsi="Verdana" w:cs="Tahoma"/>
          <w:sz w:val="20"/>
          <w:szCs w:val="20"/>
        </w:rPr>
        <w:t>3 de la Convención</w:t>
      </w:r>
      <w:r w:rsidR="005711E3">
        <w:rPr>
          <w:rStyle w:val="Refdenotaalpie"/>
          <w:rFonts w:ascii="Verdana" w:eastAsiaTheme="minorEastAsia" w:hAnsi="Verdana" w:cs="Tahoma"/>
          <w:sz w:val="20"/>
          <w:szCs w:val="20"/>
        </w:rPr>
        <w:footnoteReference w:id="43"/>
      </w:r>
      <w:r w:rsidRPr="005A32EA">
        <w:rPr>
          <w:rFonts w:ascii="Verdana" w:eastAsiaTheme="minorEastAsia" w:hAnsi="Verdana" w:cs="Tahoma"/>
          <w:sz w:val="20"/>
          <w:szCs w:val="20"/>
        </w:rPr>
        <w:t>, se colige</w:t>
      </w:r>
      <w:r w:rsidR="00C5087A" w:rsidRPr="005A32EA">
        <w:rPr>
          <w:rFonts w:ascii="Verdana" w:eastAsiaTheme="minorEastAsia" w:hAnsi="Verdana" w:cs="Tahoma"/>
          <w:sz w:val="20"/>
          <w:szCs w:val="20"/>
        </w:rPr>
        <w:t>, en forma inequívoca, que la</w:t>
      </w:r>
      <w:r w:rsidR="00B54E65" w:rsidRPr="005A32EA">
        <w:rPr>
          <w:rFonts w:ascii="Verdana" w:eastAsiaTheme="minorEastAsia" w:hAnsi="Verdana" w:cs="Tahoma"/>
          <w:sz w:val="20"/>
          <w:szCs w:val="20"/>
        </w:rPr>
        <w:t xml:space="preserve"> Corte puede decretar </w:t>
      </w:r>
      <w:r w:rsidR="00C5087A" w:rsidRPr="005A32EA">
        <w:rPr>
          <w:rFonts w:ascii="Verdana" w:eastAsiaTheme="minorEastAsia" w:hAnsi="Verdana" w:cs="Tahoma"/>
          <w:sz w:val="20"/>
          <w:szCs w:val="20"/>
        </w:rPr>
        <w:t>medidas provisiona</w:t>
      </w:r>
      <w:r w:rsidR="00B54E65" w:rsidRPr="005A32EA">
        <w:rPr>
          <w:rFonts w:ascii="Verdana" w:eastAsiaTheme="minorEastAsia" w:hAnsi="Verdana" w:cs="Tahoma"/>
          <w:sz w:val="20"/>
          <w:szCs w:val="20"/>
        </w:rPr>
        <w:t xml:space="preserve">les respecto de un caso </w:t>
      </w:r>
      <w:r w:rsidR="00C5087A" w:rsidRPr="005A32EA">
        <w:rPr>
          <w:rFonts w:ascii="Verdana" w:eastAsiaTheme="minorEastAsia" w:hAnsi="Verdana" w:cs="Tahoma"/>
          <w:sz w:val="20"/>
          <w:szCs w:val="20"/>
        </w:rPr>
        <w:t xml:space="preserve">mientras </w:t>
      </w:r>
      <w:r w:rsidR="00B54E65" w:rsidRPr="005A32EA">
        <w:rPr>
          <w:rFonts w:ascii="Verdana" w:eastAsiaTheme="minorEastAsia" w:hAnsi="Verdana" w:cs="Tahoma"/>
          <w:sz w:val="20"/>
          <w:szCs w:val="20"/>
        </w:rPr>
        <w:t xml:space="preserve">esté sometido a su conocimiento o juzgamiento, es decir, mientras </w:t>
      </w:r>
      <w:r w:rsidR="00C5087A" w:rsidRPr="005A32EA">
        <w:rPr>
          <w:rFonts w:ascii="Verdana" w:eastAsiaTheme="minorEastAsia" w:hAnsi="Verdana" w:cs="Tahoma"/>
          <w:sz w:val="20"/>
          <w:szCs w:val="20"/>
        </w:rPr>
        <w:t xml:space="preserve">ejerce </w:t>
      </w:r>
      <w:r w:rsidR="00B54E65" w:rsidRPr="005A32EA">
        <w:rPr>
          <w:rFonts w:ascii="Verdana" w:eastAsiaTheme="minorEastAsia" w:hAnsi="Verdana" w:cs="Tahoma"/>
          <w:sz w:val="20"/>
          <w:szCs w:val="20"/>
        </w:rPr>
        <w:t xml:space="preserve">a </w:t>
      </w:r>
      <w:r w:rsidR="00C5087A" w:rsidRPr="005A32EA">
        <w:rPr>
          <w:rFonts w:ascii="Verdana" w:eastAsiaTheme="minorEastAsia" w:hAnsi="Verdana" w:cs="Tahoma"/>
          <w:sz w:val="20"/>
          <w:szCs w:val="20"/>
        </w:rPr>
        <w:t xml:space="preserve">su </w:t>
      </w:r>
      <w:r w:rsidR="00A45C93">
        <w:rPr>
          <w:rFonts w:ascii="Verdana" w:eastAsiaTheme="minorEastAsia" w:hAnsi="Verdana" w:cs="Tahoma"/>
          <w:sz w:val="20"/>
          <w:szCs w:val="20"/>
        </w:rPr>
        <w:t xml:space="preserve">respecto la </w:t>
      </w:r>
      <w:r w:rsidR="00C5087A" w:rsidRPr="005A32EA">
        <w:rPr>
          <w:rFonts w:ascii="Verdana" w:eastAsiaTheme="minorEastAsia" w:hAnsi="Verdana" w:cs="Tahoma"/>
          <w:sz w:val="20"/>
          <w:szCs w:val="20"/>
        </w:rPr>
        <w:t>competencia contenciosa</w:t>
      </w:r>
      <w:r w:rsidR="00B54E65" w:rsidRPr="005A32EA">
        <w:rPr>
          <w:rFonts w:ascii="Verdana" w:eastAsiaTheme="minorEastAsia" w:hAnsi="Verdana" w:cs="Tahoma"/>
          <w:sz w:val="20"/>
          <w:szCs w:val="20"/>
        </w:rPr>
        <w:t xml:space="preserve"> </w:t>
      </w:r>
      <w:r w:rsidR="00C5087A" w:rsidRPr="005A32EA">
        <w:rPr>
          <w:rFonts w:ascii="Verdana" w:eastAsiaTheme="minorEastAsia" w:hAnsi="Verdana" w:cs="Tahoma"/>
          <w:sz w:val="20"/>
          <w:szCs w:val="20"/>
        </w:rPr>
        <w:t xml:space="preserve">y </w:t>
      </w:r>
      <w:r w:rsidRPr="005A32EA">
        <w:rPr>
          <w:rFonts w:ascii="Verdana" w:eastAsiaTheme="minorEastAsia" w:hAnsi="Verdana" w:cs="Tahoma"/>
          <w:sz w:val="20"/>
          <w:szCs w:val="20"/>
        </w:rPr>
        <w:t xml:space="preserve">que </w:t>
      </w:r>
      <w:r w:rsidR="00C5087A" w:rsidRPr="005A32EA">
        <w:rPr>
          <w:rFonts w:ascii="Verdana" w:eastAsiaTheme="minorEastAsia" w:hAnsi="Verdana" w:cs="Tahoma"/>
          <w:sz w:val="20"/>
          <w:szCs w:val="20"/>
        </w:rPr>
        <w:t>en las s</w:t>
      </w:r>
      <w:r w:rsidR="00B54E65" w:rsidRPr="005A32EA">
        <w:rPr>
          <w:rFonts w:ascii="Verdana" w:eastAsiaTheme="minorEastAsia" w:hAnsi="Verdana" w:cs="Tahoma"/>
          <w:sz w:val="20"/>
          <w:szCs w:val="20"/>
        </w:rPr>
        <w:t>ituaciones en que ello no ocurriese</w:t>
      </w:r>
      <w:r w:rsidR="00C5087A" w:rsidRPr="005A32EA">
        <w:rPr>
          <w:rFonts w:ascii="Verdana" w:eastAsiaTheme="minorEastAsia" w:hAnsi="Verdana" w:cs="Tahoma"/>
          <w:sz w:val="20"/>
          <w:szCs w:val="20"/>
        </w:rPr>
        <w:t>,</w:t>
      </w:r>
      <w:r w:rsidR="00B54E65" w:rsidRPr="005A32EA">
        <w:rPr>
          <w:rFonts w:ascii="Verdana" w:eastAsiaTheme="minorEastAsia" w:hAnsi="Verdana" w:cs="Tahoma"/>
          <w:sz w:val="20"/>
          <w:szCs w:val="20"/>
        </w:rPr>
        <w:t xml:space="preserve"> es menester </w:t>
      </w:r>
      <w:r w:rsidR="00C5087A" w:rsidRPr="005A32EA">
        <w:rPr>
          <w:rFonts w:ascii="Verdana" w:eastAsiaTheme="minorEastAsia" w:hAnsi="Verdana" w:cs="Tahoma"/>
          <w:sz w:val="20"/>
          <w:szCs w:val="20"/>
        </w:rPr>
        <w:t>la solicitud previa de la Comisión.</w:t>
      </w:r>
      <w:r w:rsidR="00B54E65" w:rsidRPr="005A32EA">
        <w:rPr>
          <w:rFonts w:ascii="Verdana" w:eastAsiaTheme="minorEastAsia" w:hAnsi="Verdana" w:cs="Tahoma"/>
          <w:sz w:val="20"/>
          <w:szCs w:val="20"/>
        </w:rPr>
        <w:t xml:space="preserve"> Y evidentemente, ello no solo no ha acontecido en autos, sino que la Resolución no lo contempla como razón para no decretar las medi</w:t>
      </w:r>
      <w:r w:rsidR="008C4CBE">
        <w:rPr>
          <w:rFonts w:ascii="Verdana" w:eastAsiaTheme="minorEastAsia" w:hAnsi="Verdana" w:cs="Tahoma"/>
          <w:sz w:val="20"/>
          <w:szCs w:val="20"/>
        </w:rPr>
        <w:t>d</w:t>
      </w:r>
      <w:r w:rsidR="00B54E65" w:rsidRPr="005A32EA">
        <w:rPr>
          <w:rFonts w:ascii="Verdana" w:eastAsiaTheme="minorEastAsia" w:hAnsi="Verdana" w:cs="Tahoma"/>
          <w:sz w:val="20"/>
          <w:szCs w:val="20"/>
        </w:rPr>
        <w:t xml:space="preserve">as provisionales solicitadas. </w:t>
      </w:r>
    </w:p>
    <w:p w14:paraId="2D2CB5B7" w14:textId="52493F2A" w:rsidR="00A31B41" w:rsidRPr="00A31B41" w:rsidRDefault="00A31B41" w:rsidP="00A31B41">
      <w:pPr>
        <w:spacing w:after="100" w:afterAutospacing="1"/>
        <w:ind w:left="0"/>
        <w:rPr>
          <w:rFonts w:ascii="Verdana" w:hAnsi="Verdana"/>
          <w:sz w:val="20"/>
          <w:szCs w:val="20"/>
          <w:lang w:val="es-ES"/>
        </w:rPr>
      </w:pPr>
      <w:r w:rsidRPr="00D84A52">
        <w:rPr>
          <w:rFonts w:ascii="Verdana" w:hAnsi="Verdana"/>
          <w:sz w:val="20"/>
          <w:szCs w:val="20"/>
        </w:rPr>
        <w:t xml:space="preserve">En consecuencia, con lo ordenado en la Resolución, no se otorga la posibilidad de que, en forma previa, la Comisión, empleando sus amplias facultades de </w:t>
      </w:r>
      <w:r w:rsidRPr="00D84A52">
        <w:rPr>
          <w:rFonts w:ascii="Verdana" w:hAnsi="Verdana"/>
          <w:sz w:val="20"/>
          <w:szCs w:val="20"/>
          <w:lang w:val="es-ES"/>
        </w:rPr>
        <w:t xml:space="preserve">promoción </w:t>
      </w:r>
      <w:r w:rsidR="008C4CBE">
        <w:rPr>
          <w:rFonts w:ascii="Verdana" w:hAnsi="Verdana"/>
          <w:sz w:val="20"/>
          <w:szCs w:val="20"/>
          <w:lang w:val="es-ES"/>
        </w:rPr>
        <w:t xml:space="preserve">de </w:t>
      </w:r>
      <w:r w:rsidRPr="00D84A52">
        <w:rPr>
          <w:rFonts w:ascii="Verdana" w:hAnsi="Verdana"/>
          <w:sz w:val="20"/>
          <w:szCs w:val="20"/>
          <w:lang w:val="es-ES"/>
        </w:rPr>
        <w:t>la observancia y defensa de los derechos humanos y, en particular, de “</w:t>
      </w:r>
      <w:r w:rsidRPr="00D84A52">
        <w:rPr>
          <w:rFonts w:ascii="Verdana" w:hAnsi="Verdana"/>
          <w:i/>
          <w:sz w:val="20"/>
          <w:szCs w:val="20"/>
          <w:lang w:val="es-ES"/>
        </w:rPr>
        <w:t>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r w:rsidRPr="00D84A52">
        <w:rPr>
          <w:rFonts w:ascii="Verdana" w:hAnsi="Verdana"/>
          <w:sz w:val="20"/>
          <w:szCs w:val="20"/>
          <w:lang w:val="es-ES"/>
        </w:rPr>
        <w:t>”</w:t>
      </w:r>
      <w:r w:rsidRPr="00D84A52">
        <w:rPr>
          <w:rStyle w:val="Refdenotaalpie"/>
          <w:rFonts w:ascii="Verdana" w:hAnsi="Verdana"/>
          <w:sz w:val="20"/>
          <w:szCs w:val="20"/>
          <w:lang w:val="es-ES"/>
        </w:rPr>
        <w:footnoteReference w:id="44"/>
      </w:r>
      <w:r w:rsidRPr="00D84A52">
        <w:rPr>
          <w:rFonts w:ascii="Verdana" w:hAnsi="Verdana"/>
          <w:sz w:val="20"/>
          <w:szCs w:val="20"/>
          <w:lang w:val="es-ES"/>
        </w:rPr>
        <w:t>,</w:t>
      </w:r>
      <w:r>
        <w:rPr>
          <w:rFonts w:ascii="Verdana" w:hAnsi="Verdana"/>
          <w:sz w:val="20"/>
          <w:szCs w:val="20"/>
          <w:lang w:val="es-ES"/>
        </w:rPr>
        <w:t xml:space="preserve"> interviniera</w:t>
      </w:r>
      <w:r w:rsidRPr="00D84A52">
        <w:rPr>
          <w:rFonts w:ascii="Verdana" w:hAnsi="Verdana"/>
          <w:sz w:val="20"/>
          <w:szCs w:val="20"/>
          <w:lang w:val="es-ES"/>
        </w:rPr>
        <w:t xml:space="preserve"> y </w:t>
      </w:r>
      <w:r>
        <w:rPr>
          <w:rFonts w:ascii="Verdana" w:hAnsi="Verdana"/>
          <w:sz w:val="20"/>
          <w:szCs w:val="20"/>
          <w:lang w:val="es-ES"/>
        </w:rPr>
        <w:t>obtuviera</w:t>
      </w:r>
      <w:r w:rsidRPr="00D84A52">
        <w:rPr>
          <w:rFonts w:ascii="Verdana" w:hAnsi="Verdana"/>
          <w:sz w:val="20"/>
          <w:szCs w:val="20"/>
          <w:lang w:val="es-ES"/>
        </w:rPr>
        <w:t xml:space="preserve"> así un resultado más rápidamente y más práctico, </w:t>
      </w:r>
      <w:r>
        <w:rPr>
          <w:rFonts w:ascii="Verdana" w:hAnsi="Verdana"/>
          <w:sz w:val="20"/>
          <w:szCs w:val="20"/>
          <w:lang w:val="es-ES"/>
        </w:rPr>
        <w:t xml:space="preserve">permitiendo la participación del Estado concernido y, eventualmente, </w:t>
      </w:r>
      <w:r w:rsidRPr="00D84A52">
        <w:rPr>
          <w:rFonts w:ascii="Verdana" w:hAnsi="Verdana"/>
          <w:sz w:val="20"/>
          <w:szCs w:val="20"/>
          <w:lang w:val="es-ES"/>
        </w:rPr>
        <w:t>haciendo innecesaria la intervención de la Corte.</w:t>
      </w:r>
    </w:p>
    <w:p w14:paraId="2743FD48" w14:textId="77777777" w:rsidR="00072095" w:rsidRPr="00D84A52" w:rsidRDefault="005711E3" w:rsidP="00D4486E">
      <w:pPr>
        <w:spacing w:after="100" w:afterAutospacing="1"/>
        <w:ind w:left="0"/>
        <w:rPr>
          <w:rFonts w:ascii="Verdana" w:hAnsi="Verdana"/>
          <w:sz w:val="20"/>
          <w:szCs w:val="20"/>
        </w:rPr>
      </w:pPr>
      <w:r>
        <w:rPr>
          <w:rFonts w:ascii="Verdana" w:hAnsi="Verdana"/>
          <w:sz w:val="20"/>
          <w:szCs w:val="20"/>
        </w:rPr>
        <w:t>Con lo afirmado</w:t>
      </w:r>
      <w:r w:rsidR="00072095" w:rsidRPr="00D84A52">
        <w:rPr>
          <w:rFonts w:ascii="Verdana" w:hAnsi="Verdana"/>
          <w:sz w:val="20"/>
          <w:szCs w:val="20"/>
        </w:rPr>
        <w:t xml:space="preserve">, no se está señalando </w:t>
      </w:r>
      <w:r w:rsidR="00E0740A" w:rsidRPr="00D84A52">
        <w:rPr>
          <w:rFonts w:ascii="Verdana" w:hAnsi="Verdana"/>
          <w:sz w:val="20"/>
          <w:szCs w:val="20"/>
        </w:rPr>
        <w:t xml:space="preserve">que lo que procedía </w:t>
      </w:r>
      <w:r w:rsidR="00072095" w:rsidRPr="00D84A52">
        <w:rPr>
          <w:rFonts w:ascii="Verdana" w:hAnsi="Verdana"/>
          <w:sz w:val="20"/>
          <w:szCs w:val="20"/>
        </w:rPr>
        <w:t xml:space="preserve">era seguir </w:t>
      </w:r>
      <w:r w:rsidR="00B54E65" w:rsidRPr="00D84A52">
        <w:rPr>
          <w:rFonts w:ascii="Verdana" w:hAnsi="Verdana"/>
          <w:sz w:val="20"/>
          <w:szCs w:val="20"/>
        </w:rPr>
        <w:t xml:space="preserve">únicamente </w:t>
      </w:r>
      <w:r w:rsidR="00072095" w:rsidRPr="00D84A52">
        <w:rPr>
          <w:rFonts w:ascii="Verdana" w:hAnsi="Verdana"/>
          <w:sz w:val="20"/>
          <w:szCs w:val="20"/>
        </w:rPr>
        <w:t>un derrotero meramente formalista o literal</w:t>
      </w:r>
      <w:r w:rsidR="00C5087A" w:rsidRPr="00D84A52">
        <w:rPr>
          <w:rFonts w:ascii="Verdana" w:hAnsi="Verdana"/>
          <w:sz w:val="20"/>
          <w:szCs w:val="20"/>
        </w:rPr>
        <w:t xml:space="preserve"> o positivista</w:t>
      </w:r>
      <w:r w:rsidR="00B54E65" w:rsidRPr="00D84A52">
        <w:rPr>
          <w:rFonts w:ascii="Verdana" w:hAnsi="Verdana"/>
          <w:sz w:val="20"/>
          <w:szCs w:val="20"/>
        </w:rPr>
        <w:t>, esto es, considerando</w:t>
      </w:r>
      <w:r w:rsidR="00072095" w:rsidRPr="00D84A52">
        <w:rPr>
          <w:rFonts w:ascii="Verdana" w:hAnsi="Verdana"/>
          <w:sz w:val="20"/>
          <w:szCs w:val="20"/>
        </w:rPr>
        <w:t xml:space="preserve"> exclusiva</w:t>
      </w:r>
      <w:r w:rsidR="00B54E65" w:rsidRPr="00D84A52">
        <w:rPr>
          <w:rFonts w:ascii="Verdana" w:hAnsi="Verdana"/>
          <w:sz w:val="20"/>
          <w:szCs w:val="20"/>
        </w:rPr>
        <w:t xml:space="preserve"> o aisladamente </w:t>
      </w:r>
      <w:r>
        <w:rPr>
          <w:rFonts w:ascii="Verdana" w:hAnsi="Verdana"/>
          <w:sz w:val="20"/>
          <w:szCs w:val="20"/>
        </w:rPr>
        <w:t xml:space="preserve">la letra de </w:t>
      </w:r>
      <w:r w:rsidR="00B54E65" w:rsidRPr="00D84A52">
        <w:rPr>
          <w:rFonts w:ascii="Verdana" w:hAnsi="Verdana"/>
          <w:sz w:val="20"/>
          <w:szCs w:val="20"/>
        </w:rPr>
        <w:t>una disposición convencional</w:t>
      </w:r>
      <w:r w:rsidR="00072095" w:rsidRPr="00D84A52">
        <w:rPr>
          <w:rFonts w:ascii="Verdana" w:hAnsi="Verdana"/>
          <w:sz w:val="20"/>
          <w:szCs w:val="20"/>
        </w:rPr>
        <w:t xml:space="preserve">, </w:t>
      </w:r>
      <w:r w:rsidR="00B54E65" w:rsidRPr="00D84A52">
        <w:rPr>
          <w:rFonts w:ascii="Verdana" w:hAnsi="Verdana"/>
          <w:sz w:val="20"/>
          <w:szCs w:val="20"/>
        </w:rPr>
        <w:t xml:space="preserve">en </w:t>
      </w:r>
      <w:r w:rsidR="00E67155" w:rsidRPr="00D84A52">
        <w:rPr>
          <w:rFonts w:ascii="Verdana" w:hAnsi="Verdana"/>
          <w:sz w:val="20"/>
          <w:szCs w:val="20"/>
        </w:rPr>
        <w:t>el presente asunto, lo indicado en el artículo 63.1 de la Convención</w:t>
      </w:r>
      <w:r w:rsidR="00E67155" w:rsidRPr="00D84A52">
        <w:rPr>
          <w:rStyle w:val="Refdenotaalpie"/>
          <w:rFonts w:ascii="Verdana" w:hAnsi="Verdana"/>
          <w:sz w:val="20"/>
          <w:szCs w:val="20"/>
        </w:rPr>
        <w:footnoteReference w:id="45"/>
      </w:r>
      <w:r w:rsidR="00E0740A" w:rsidRPr="00D84A52">
        <w:rPr>
          <w:rFonts w:ascii="Verdana" w:hAnsi="Verdana"/>
          <w:sz w:val="20"/>
          <w:szCs w:val="20"/>
        </w:rPr>
        <w:t>,</w:t>
      </w:r>
      <w:r w:rsidR="00E67155" w:rsidRPr="00D84A52">
        <w:rPr>
          <w:rFonts w:ascii="Verdana" w:hAnsi="Verdana"/>
          <w:sz w:val="20"/>
          <w:szCs w:val="20"/>
        </w:rPr>
        <w:t xml:space="preserve"> </w:t>
      </w:r>
      <w:r w:rsidR="00072095" w:rsidRPr="00D84A52">
        <w:rPr>
          <w:rFonts w:ascii="Verdana" w:hAnsi="Verdana"/>
          <w:sz w:val="20"/>
          <w:szCs w:val="20"/>
        </w:rPr>
        <w:t xml:space="preserve">sino </w:t>
      </w:r>
      <w:r w:rsidR="00E0740A" w:rsidRPr="00D84A52">
        <w:rPr>
          <w:rFonts w:ascii="Verdana" w:hAnsi="Verdana"/>
          <w:sz w:val="20"/>
          <w:szCs w:val="20"/>
        </w:rPr>
        <w:t xml:space="preserve">que lo procedente era </w:t>
      </w:r>
      <w:r>
        <w:rPr>
          <w:rFonts w:ascii="Verdana" w:hAnsi="Verdana"/>
          <w:sz w:val="20"/>
          <w:szCs w:val="20"/>
        </w:rPr>
        <w:t xml:space="preserve">que se </w:t>
      </w:r>
      <w:r w:rsidR="00072095" w:rsidRPr="00D84A52">
        <w:rPr>
          <w:rFonts w:ascii="Verdana" w:hAnsi="Verdana"/>
          <w:sz w:val="20"/>
          <w:szCs w:val="20"/>
        </w:rPr>
        <w:t>posibilitar</w:t>
      </w:r>
      <w:r>
        <w:rPr>
          <w:rFonts w:ascii="Verdana" w:hAnsi="Verdana"/>
          <w:sz w:val="20"/>
          <w:szCs w:val="20"/>
        </w:rPr>
        <w:t>a</w:t>
      </w:r>
      <w:r w:rsidR="00072095" w:rsidRPr="00D84A52">
        <w:rPr>
          <w:rFonts w:ascii="Verdana" w:hAnsi="Verdana"/>
          <w:sz w:val="20"/>
          <w:szCs w:val="20"/>
        </w:rPr>
        <w:t xml:space="preserve"> que el sistema interamericano en su conjunto y, por ende, cada uno de sus comp</w:t>
      </w:r>
      <w:r w:rsidR="00B960E6">
        <w:rPr>
          <w:rFonts w:ascii="Verdana" w:hAnsi="Verdana"/>
          <w:sz w:val="20"/>
          <w:szCs w:val="20"/>
        </w:rPr>
        <w:t xml:space="preserve">onentes, actuara oportunamente </w:t>
      </w:r>
      <w:r w:rsidR="005F1AAD" w:rsidRPr="00D84A52">
        <w:rPr>
          <w:rFonts w:ascii="Verdana" w:hAnsi="Verdana"/>
          <w:sz w:val="20"/>
          <w:szCs w:val="20"/>
        </w:rPr>
        <w:t xml:space="preserve">y </w:t>
      </w:r>
      <w:r w:rsidR="00072095" w:rsidRPr="00D84A52">
        <w:rPr>
          <w:rFonts w:ascii="Verdana" w:hAnsi="Verdana"/>
          <w:sz w:val="20"/>
          <w:szCs w:val="20"/>
        </w:rPr>
        <w:t xml:space="preserve">en el marco </w:t>
      </w:r>
      <w:r w:rsidR="00B960E6">
        <w:rPr>
          <w:rFonts w:ascii="Verdana" w:hAnsi="Verdana"/>
          <w:sz w:val="20"/>
          <w:szCs w:val="20"/>
        </w:rPr>
        <w:t xml:space="preserve">de sus respectivas competencias </w:t>
      </w:r>
      <w:r w:rsidR="00072095" w:rsidRPr="00D84A52">
        <w:rPr>
          <w:rFonts w:ascii="Verdana" w:hAnsi="Verdana"/>
          <w:sz w:val="20"/>
          <w:szCs w:val="20"/>
        </w:rPr>
        <w:t>y potencialidades, ante le irrupción de una situación que pu</w:t>
      </w:r>
      <w:r w:rsidR="00A74FE4" w:rsidRPr="00D84A52">
        <w:rPr>
          <w:rFonts w:ascii="Verdana" w:hAnsi="Verdana"/>
          <w:sz w:val="20"/>
          <w:szCs w:val="20"/>
        </w:rPr>
        <w:t>diese poner</w:t>
      </w:r>
      <w:r w:rsidR="00072095" w:rsidRPr="00D84A52">
        <w:rPr>
          <w:rFonts w:ascii="Verdana" w:hAnsi="Verdana"/>
          <w:sz w:val="20"/>
          <w:szCs w:val="20"/>
        </w:rPr>
        <w:t xml:space="preserve"> en peligro la v</w:t>
      </w:r>
      <w:r w:rsidR="005F1AAD" w:rsidRPr="00D84A52">
        <w:rPr>
          <w:rFonts w:ascii="Verdana" w:hAnsi="Verdana"/>
          <w:sz w:val="20"/>
          <w:szCs w:val="20"/>
        </w:rPr>
        <w:t>igencia de los derechos human</w:t>
      </w:r>
      <w:r w:rsidR="00E0740A" w:rsidRPr="00D84A52">
        <w:rPr>
          <w:rFonts w:ascii="Verdana" w:hAnsi="Verdana"/>
          <w:sz w:val="20"/>
          <w:szCs w:val="20"/>
        </w:rPr>
        <w:t xml:space="preserve">os, respetando así, además, </w:t>
      </w:r>
      <w:r w:rsidR="00A74FE4" w:rsidRPr="00D84A52">
        <w:rPr>
          <w:rFonts w:ascii="Verdana" w:hAnsi="Verdana"/>
          <w:sz w:val="20"/>
          <w:szCs w:val="20"/>
        </w:rPr>
        <w:t xml:space="preserve">los </w:t>
      </w:r>
      <w:r w:rsidR="005F1AAD" w:rsidRPr="00D84A52">
        <w:rPr>
          <w:rFonts w:ascii="Verdana" w:hAnsi="Verdana"/>
          <w:sz w:val="20"/>
          <w:szCs w:val="20"/>
        </w:rPr>
        <w:t>de quienes podrían verse afectados por las medidas provisionales que eventualmente se distasen.</w:t>
      </w:r>
      <w:r w:rsidR="00072095" w:rsidRPr="00D84A52">
        <w:rPr>
          <w:rFonts w:ascii="Verdana" w:hAnsi="Verdana"/>
          <w:sz w:val="20"/>
          <w:szCs w:val="20"/>
        </w:rPr>
        <w:t xml:space="preserve"> </w:t>
      </w:r>
    </w:p>
    <w:p w14:paraId="765877CA" w14:textId="3697C194" w:rsidR="00B960E6" w:rsidRPr="00BB7635" w:rsidRDefault="00B960E6" w:rsidP="00BB7635">
      <w:pPr>
        <w:spacing w:after="100" w:afterAutospacing="1"/>
        <w:ind w:left="0"/>
        <w:rPr>
          <w:rStyle w:val="Textoennegrita"/>
          <w:rFonts w:ascii="Verdana" w:hAnsi="Verdana"/>
          <w:b w:val="0"/>
          <w:bCs w:val="0"/>
          <w:sz w:val="20"/>
          <w:szCs w:val="20"/>
          <w:lang w:val="es-ES"/>
        </w:rPr>
      </w:pPr>
      <w:r>
        <w:rPr>
          <w:rFonts w:ascii="Verdana" w:hAnsi="Verdana"/>
          <w:sz w:val="20"/>
          <w:szCs w:val="20"/>
          <w:lang w:val="es-ES"/>
        </w:rPr>
        <w:t>En relación a lo sostenido precedentemente, no está de más recordar que el acatamiento de las normas de carácter procesal también garantiza el respeto de los derechos humanos, al permitir lo que normalmente se denomina “igualdad de armas</w:t>
      </w:r>
      <w:r w:rsidRPr="00B960E6">
        <w:rPr>
          <w:rFonts w:ascii="Verdana" w:hAnsi="Verdana"/>
          <w:b/>
          <w:sz w:val="20"/>
          <w:szCs w:val="20"/>
          <w:lang w:val="es-ES"/>
        </w:rPr>
        <w:t>”</w:t>
      </w:r>
      <w:r w:rsidRPr="00B960E6">
        <w:rPr>
          <w:rStyle w:val="Textoennegrita"/>
          <w:rFonts w:ascii="Verdana" w:hAnsi="Verdana"/>
          <w:b w:val="0"/>
          <w:sz w:val="20"/>
          <w:szCs w:val="20"/>
          <w:shd w:val="clear" w:color="auto" w:fill="FFFFFF"/>
        </w:rPr>
        <w:t xml:space="preserve">, es decir, iguales posibilidades jurídicas </w:t>
      </w:r>
      <w:r>
        <w:rPr>
          <w:rStyle w:val="Textoennegrita"/>
          <w:rFonts w:ascii="Verdana" w:hAnsi="Verdana"/>
          <w:b w:val="0"/>
          <w:sz w:val="20"/>
          <w:szCs w:val="20"/>
          <w:shd w:val="clear" w:color="auto" w:fill="FFFFFF"/>
        </w:rPr>
        <w:t xml:space="preserve">de quienes se someten </w:t>
      </w:r>
      <w:r w:rsidRPr="00B960E6">
        <w:rPr>
          <w:rStyle w:val="Textoennegrita"/>
          <w:rFonts w:ascii="Verdana" w:hAnsi="Verdana"/>
          <w:b w:val="0"/>
          <w:sz w:val="20"/>
          <w:szCs w:val="20"/>
          <w:shd w:val="clear" w:color="auto" w:fill="FFFFFF"/>
        </w:rPr>
        <w:t xml:space="preserve">ante un juez o tribunal, </w:t>
      </w:r>
      <w:r w:rsidR="00A45C93">
        <w:rPr>
          <w:rStyle w:val="Textoennegrita"/>
          <w:rFonts w:ascii="Verdana" w:hAnsi="Verdana"/>
          <w:b w:val="0"/>
          <w:sz w:val="20"/>
          <w:szCs w:val="20"/>
          <w:shd w:val="clear" w:color="auto" w:fill="FFFFFF"/>
        </w:rPr>
        <w:t>que en el asunto en comento, son</w:t>
      </w:r>
      <w:r>
        <w:rPr>
          <w:rStyle w:val="Textoennegrita"/>
          <w:rFonts w:ascii="Verdana" w:hAnsi="Verdana"/>
          <w:b w:val="0"/>
          <w:sz w:val="20"/>
          <w:szCs w:val="20"/>
          <w:shd w:val="clear" w:color="auto" w:fill="FFFFFF"/>
        </w:rPr>
        <w:t xml:space="preserve"> los solicitantes de las medidas</w:t>
      </w:r>
      <w:r w:rsidR="00BA52FE">
        <w:rPr>
          <w:rStyle w:val="Textoennegrita"/>
          <w:rFonts w:ascii="Verdana" w:hAnsi="Verdana"/>
          <w:b w:val="0"/>
          <w:sz w:val="20"/>
          <w:szCs w:val="20"/>
          <w:shd w:val="clear" w:color="auto" w:fill="FFFFFF"/>
        </w:rPr>
        <w:t xml:space="preserve"> provisionales y el Estado respecto del que la solicitaron</w:t>
      </w:r>
      <w:r>
        <w:rPr>
          <w:rStyle w:val="Textoennegrita"/>
          <w:rFonts w:ascii="Verdana" w:hAnsi="Verdana"/>
          <w:b w:val="0"/>
          <w:sz w:val="20"/>
          <w:szCs w:val="20"/>
          <w:shd w:val="clear" w:color="auto" w:fill="FFFFFF"/>
        </w:rPr>
        <w:t xml:space="preserve">. </w:t>
      </w:r>
    </w:p>
    <w:p w14:paraId="3AF868E9" w14:textId="77777777" w:rsidR="00C1764C" w:rsidRPr="00F66A1E" w:rsidRDefault="003A22A2" w:rsidP="00F66A1E">
      <w:pPr>
        <w:spacing w:after="100" w:afterAutospacing="1"/>
        <w:ind w:left="0"/>
        <w:rPr>
          <w:rFonts w:ascii="Verdana" w:hAnsi="Verdana"/>
          <w:bCs/>
          <w:sz w:val="20"/>
          <w:szCs w:val="20"/>
          <w:shd w:val="clear" w:color="auto" w:fill="FFFFFF"/>
        </w:rPr>
      </w:pPr>
      <w:r>
        <w:rPr>
          <w:rStyle w:val="Textoennegrita"/>
          <w:rFonts w:ascii="Verdana" w:hAnsi="Verdana"/>
          <w:b w:val="0"/>
          <w:sz w:val="20"/>
          <w:szCs w:val="20"/>
          <w:shd w:val="clear" w:color="auto" w:fill="FFFFFF"/>
        </w:rPr>
        <w:lastRenderedPageBreak/>
        <w:t xml:space="preserve">En síntesis, la Resolución debería haber fundamentado su rechazo a decretar las medidas provisionales solicitadas, en la </w:t>
      </w:r>
      <w:r w:rsidR="00BB7635">
        <w:rPr>
          <w:rStyle w:val="Textoennegrita"/>
          <w:rFonts w:ascii="Verdana" w:hAnsi="Verdana"/>
          <w:b w:val="0"/>
          <w:sz w:val="20"/>
          <w:szCs w:val="20"/>
          <w:shd w:val="clear" w:color="auto" w:fill="FFFFFF"/>
        </w:rPr>
        <w:t>vulneración de las normas procesales pertinentes.</w:t>
      </w:r>
    </w:p>
    <w:p w14:paraId="66DD751B" w14:textId="77777777" w:rsidR="00C1764C" w:rsidRPr="00D84A52" w:rsidRDefault="00C1764C" w:rsidP="00E76083">
      <w:pPr>
        <w:spacing w:after="100" w:afterAutospacing="1"/>
        <w:ind w:left="0"/>
        <w:rPr>
          <w:rFonts w:ascii="Verdana" w:hAnsi="Verdana"/>
          <w:sz w:val="20"/>
          <w:szCs w:val="20"/>
          <w:lang w:val="es-ES"/>
        </w:rPr>
      </w:pPr>
      <w:r w:rsidRPr="00D84A52">
        <w:rPr>
          <w:rFonts w:ascii="Verdana" w:hAnsi="Verdana"/>
          <w:b/>
          <w:sz w:val="20"/>
          <w:szCs w:val="20"/>
        </w:rPr>
        <w:t>CONCLUSIÓN.</w:t>
      </w:r>
    </w:p>
    <w:p w14:paraId="58E26B11" w14:textId="5F091BE0" w:rsidR="00802913" w:rsidRDefault="00C1764C" w:rsidP="003A22A2">
      <w:pPr>
        <w:tabs>
          <w:tab w:val="left" w:pos="7348"/>
        </w:tabs>
        <w:spacing w:after="100" w:afterAutospacing="1"/>
        <w:ind w:left="0"/>
        <w:rPr>
          <w:rFonts w:ascii="Verdana" w:hAnsi="Verdana"/>
          <w:sz w:val="20"/>
          <w:szCs w:val="20"/>
        </w:rPr>
      </w:pPr>
      <w:r w:rsidRPr="00D84A52">
        <w:rPr>
          <w:rFonts w:ascii="Verdana" w:hAnsi="Verdana"/>
          <w:sz w:val="20"/>
          <w:szCs w:val="20"/>
        </w:rPr>
        <w:t xml:space="preserve">En síntesis, entonces, </w:t>
      </w:r>
      <w:r w:rsidR="007D395B">
        <w:rPr>
          <w:rFonts w:ascii="Verdana" w:hAnsi="Verdana"/>
          <w:sz w:val="20"/>
          <w:szCs w:val="20"/>
        </w:rPr>
        <w:t xml:space="preserve">hay razones más que suficientes para fundamentar la negativa a conceder las medidas provisionales solicitadas, las que, sin embargo, no fueron consideradas en la Resolución. Y la que invoca es del todo insuficiente e incluso </w:t>
      </w:r>
      <w:r w:rsidR="00A31B41">
        <w:rPr>
          <w:rFonts w:ascii="Verdana" w:hAnsi="Verdana"/>
          <w:sz w:val="20"/>
          <w:szCs w:val="20"/>
        </w:rPr>
        <w:t>inadecuada</w:t>
      </w:r>
      <w:r w:rsidR="007D395B">
        <w:rPr>
          <w:rFonts w:ascii="Verdana" w:hAnsi="Verdana"/>
          <w:sz w:val="20"/>
          <w:szCs w:val="20"/>
        </w:rPr>
        <w:t xml:space="preserve"> para ello, amén que deja un gran margen para que en el futuro, en asuntos similares, se concedan las medidas provisionales que se requieran</w:t>
      </w:r>
      <w:r w:rsidR="003E1B12">
        <w:rPr>
          <w:rStyle w:val="Refdenotaalpie"/>
          <w:rFonts w:ascii="Verdana" w:hAnsi="Verdana"/>
          <w:sz w:val="20"/>
          <w:szCs w:val="20"/>
        </w:rPr>
        <w:footnoteReference w:id="46"/>
      </w:r>
      <w:r w:rsidR="008C4CBE">
        <w:rPr>
          <w:rFonts w:ascii="Verdana" w:hAnsi="Verdana"/>
          <w:sz w:val="20"/>
          <w:szCs w:val="20"/>
        </w:rPr>
        <w:t>.</w:t>
      </w:r>
    </w:p>
    <w:p w14:paraId="0132585A" w14:textId="77777777" w:rsidR="00C1764C" w:rsidRPr="00D84A52" w:rsidRDefault="00E23DAC" w:rsidP="003A22A2">
      <w:pPr>
        <w:tabs>
          <w:tab w:val="left" w:pos="7348"/>
        </w:tabs>
        <w:spacing w:after="100" w:afterAutospacing="1"/>
        <w:ind w:left="0"/>
        <w:rPr>
          <w:rFonts w:ascii="Verdana" w:hAnsi="Verdana"/>
          <w:sz w:val="20"/>
          <w:szCs w:val="20"/>
        </w:rPr>
      </w:pPr>
      <w:r>
        <w:rPr>
          <w:rFonts w:ascii="Verdana" w:hAnsi="Verdana"/>
          <w:sz w:val="20"/>
          <w:szCs w:val="20"/>
        </w:rPr>
        <w:t xml:space="preserve">Se ha estimado necesario manifestar todo lo anterior, </w:t>
      </w:r>
      <w:r w:rsidR="00AA4DCB">
        <w:rPr>
          <w:rFonts w:ascii="Verdana" w:hAnsi="Verdana"/>
          <w:sz w:val="20"/>
          <w:szCs w:val="20"/>
        </w:rPr>
        <w:t xml:space="preserve">entonces, </w:t>
      </w:r>
      <w:r w:rsidR="00A31B41">
        <w:rPr>
          <w:rFonts w:ascii="Verdana" w:hAnsi="Verdana"/>
          <w:sz w:val="20"/>
          <w:szCs w:val="20"/>
        </w:rPr>
        <w:t xml:space="preserve">por el precedente que, a partir de la Resolución, </w:t>
      </w:r>
      <w:r>
        <w:rPr>
          <w:rFonts w:ascii="Verdana" w:hAnsi="Verdana"/>
          <w:sz w:val="20"/>
          <w:szCs w:val="20"/>
        </w:rPr>
        <w:t>podría ge</w:t>
      </w:r>
      <w:r w:rsidR="00A31B41">
        <w:rPr>
          <w:rFonts w:ascii="Verdana" w:hAnsi="Verdana"/>
          <w:sz w:val="20"/>
          <w:szCs w:val="20"/>
        </w:rPr>
        <w:t>nerase</w:t>
      </w:r>
      <w:r>
        <w:rPr>
          <w:rFonts w:ascii="Verdana" w:hAnsi="Verdana"/>
          <w:sz w:val="20"/>
          <w:szCs w:val="20"/>
        </w:rPr>
        <w:t>, lo que sería un error</w:t>
      </w:r>
      <w:r w:rsidR="00E6094B">
        <w:rPr>
          <w:rFonts w:ascii="Verdana" w:hAnsi="Verdana"/>
          <w:sz w:val="20"/>
          <w:szCs w:val="20"/>
        </w:rPr>
        <w:t xml:space="preserve"> con graves consecuencias para </w:t>
      </w:r>
      <w:r>
        <w:rPr>
          <w:rFonts w:ascii="Verdana" w:hAnsi="Verdana"/>
          <w:sz w:val="20"/>
          <w:szCs w:val="20"/>
        </w:rPr>
        <w:t xml:space="preserve">el Sistema Interamericano de Derechos Humanos. </w:t>
      </w:r>
      <w:r w:rsidR="003A22A2">
        <w:rPr>
          <w:rFonts w:ascii="Verdana" w:hAnsi="Verdana"/>
          <w:sz w:val="20"/>
          <w:szCs w:val="20"/>
        </w:rPr>
        <w:tab/>
      </w:r>
    </w:p>
    <w:p w14:paraId="03741AC3" w14:textId="3DA77FDC" w:rsidR="00E969DB" w:rsidRDefault="00C1764C" w:rsidP="00D4486E">
      <w:pPr>
        <w:ind w:left="0"/>
        <w:rPr>
          <w:rFonts w:ascii="Verdana" w:hAnsi="Verdana"/>
          <w:sz w:val="20"/>
          <w:szCs w:val="20"/>
        </w:rPr>
      </w:pPr>
      <w:r w:rsidRPr="00D84A52">
        <w:rPr>
          <w:rFonts w:ascii="Verdana" w:hAnsi="Verdana"/>
          <w:sz w:val="20"/>
          <w:szCs w:val="20"/>
        </w:rPr>
        <w:t>Ciertamente, al sostener lo anterior, se está</w:t>
      </w:r>
      <w:r w:rsidR="00E6094B">
        <w:rPr>
          <w:rFonts w:ascii="Verdana" w:hAnsi="Verdana"/>
          <w:sz w:val="20"/>
          <w:szCs w:val="20"/>
        </w:rPr>
        <w:t xml:space="preserve"> </w:t>
      </w:r>
      <w:r w:rsidR="00BB31D3">
        <w:rPr>
          <w:rFonts w:ascii="Verdana" w:hAnsi="Verdana"/>
          <w:sz w:val="20"/>
          <w:szCs w:val="20"/>
        </w:rPr>
        <w:t xml:space="preserve">consciente de que tal vez tal postura no sea percibida como </w:t>
      </w:r>
      <w:r w:rsidR="00F66A1E">
        <w:rPr>
          <w:rFonts w:ascii="Verdana" w:hAnsi="Verdana"/>
          <w:sz w:val="20"/>
          <w:szCs w:val="20"/>
        </w:rPr>
        <w:t xml:space="preserve">la </w:t>
      </w:r>
      <w:r w:rsidRPr="00D84A52">
        <w:rPr>
          <w:rFonts w:ascii="Verdana" w:hAnsi="Verdana"/>
          <w:sz w:val="20"/>
          <w:szCs w:val="20"/>
        </w:rPr>
        <w:t>social o políticamente c</w:t>
      </w:r>
      <w:r w:rsidR="00E6094B">
        <w:rPr>
          <w:rFonts w:ascii="Verdana" w:hAnsi="Verdana"/>
          <w:sz w:val="20"/>
          <w:szCs w:val="20"/>
        </w:rPr>
        <w:t xml:space="preserve">orrecta, pero se hace presente dado el convencimiento </w:t>
      </w:r>
      <w:r w:rsidRPr="00D84A52">
        <w:rPr>
          <w:rFonts w:ascii="Verdana" w:hAnsi="Verdana"/>
          <w:sz w:val="20"/>
          <w:szCs w:val="20"/>
        </w:rPr>
        <w:t>de que al impartir Justicia, no solo se debe proceder conforme a lo</w:t>
      </w:r>
      <w:r w:rsidR="00FF2535">
        <w:rPr>
          <w:rFonts w:ascii="Verdana" w:hAnsi="Verdana"/>
          <w:sz w:val="20"/>
          <w:szCs w:val="20"/>
        </w:rPr>
        <w:t xml:space="preserve"> que </w:t>
      </w:r>
      <w:r w:rsidRPr="00D84A52">
        <w:rPr>
          <w:rFonts w:ascii="Verdana" w:hAnsi="Verdana"/>
          <w:sz w:val="20"/>
          <w:szCs w:val="20"/>
        </w:rPr>
        <w:t xml:space="preserve"> indique la conciencia, sino igualmente en cuanto a lo que disponga el Derecho y ello, obviamente, más allá de las preferencias o sentimientos personales. </w:t>
      </w:r>
    </w:p>
    <w:p w14:paraId="183368CF" w14:textId="077C67A3" w:rsidR="00AA4DCB" w:rsidRDefault="00AA4DCB" w:rsidP="00D4486E">
      <w:pPr>
        <w:ind w:left="0"/>
        <w:rPr>
          <w:rFonts w:ascii="Verdana" w:hAnsi="Verdana"/>
          <w:sz w:val="20"/>
          <w:szCs w:val="20"/>
        </w:rPr>
      </w:pPr>
    </w:p>
    <w:p w14:paraId="0748947E" w14:textId="599331B0" w:rsidR="00AA4DCB" w:rsidRDefault="00AA4DCB" w:rsidP="00D4486E">
      <w:pPr>
        <w:ind w:left="0"/>
        <w:rPr>
          <w:rFonts w:ascii="Verdana" w:hAnsi="Verdana"/>
          <w:sz w:val="20"/>
          <w:szCs w:val="20"/>
        </w:rPr>
      </w:pPr>
    </w:p>
    <w:p w14:paraId="06755E54" w14:textId="77777777" w:rsidR="00AA4DCB" w:rsidRDefault="00AA4DCB" w:rsidP="00D4486E">
      <w:pPr>
        <w:ind w:left="0"/>
        <w:rPr>
          <w:rFonts w:ascii="Verdana" w:hAnsi="Verdana"/>
          <w:sz w:val="20"/>
          <w:szCs w:val="20"/>
        </w:rPr>
      </w:pPr>
    </w:p>
    <w:p w14:paraId="4C89585C" w14:textId="2B8B2D0E" w:rsidR="00A9614D" w:rsidRDefault="00A9614D" w:rsidP="00D4486E">
      <w:pPr>
        <w:ind w:left="0"/>
        <w:rPr>
          <w:rFonts w:ascii="Verdana" w:hAnsi="Verdana"/>
          <w:sz w:val="20"/>
          <w:szCs w:val="20"/>
        </w:rPr>
      </w:pPr>
    </w:p>
    <w:p w14:paraId="4C0FA5E6" w14:textId="6E65BC1E" w:rsidR="00A9614D" w:rsidRDefault="00A9614D" w:rsidP="00D4486E">
      <w:pPr>
        <w:ind w:left="0"/>
        <w:rPr>
          <w:rFonts w:ascii="Verdana" w:hAnsi="Verdana"/>
          <w:sz w:val="20"/>
          <w:szCs w:val="20"/>
        </w:rPr>
      </w:pPr>
    </w:p>
    <w:p w14:paraId="5FB07D29" w14:textId="76EA11B8" w:rsidR="00AA4DCB" w:rsidRDefault="00AA4DCB" w:rsidP="00AA4DCB">
      <w:pPr>
        <w:ind w:left="0"/>
        <w:jc w:val="right"/>
        <w:rPr>
          <w:rFonts w:ascii="Verdana" w:hAnsi="Verdana"/>
          <w:sz w:val="20"/>
          <w:szCs w:val="20"/>
        </w:rPr>
      </w:pPr>
      <w:r>
        <w:rPr>
          <w:rFonts w:ascii="Verdana" w:hAnsi="Verdana"/>
          <w:sz w:val="20"/>
          <w:szCs w:val="20"/>
        </w:rPr>
        <w:t>Eduardo V</w:t>
      </w:r>
      <w:r w:rsidR="008C4CBE">
        <w:rPr>
          <w:rFonts w:ascii="Verdana" w:hAnsi="Verdana"/>
          <w:sz w:val="20"/>
          <w:szCs w:val="20"/>
        </w:rPr>
        <w:t>i</w:t>
      </w:r>
      <w:r>
        <w:rPr>
          <w:rFonts w:ascii="Verdana" w:hAnsi="Verdana"/>
          <w:sz w:val="20"/>
          <w:szCs w:val="20"/>
        </w:rPr>
        <w:t>o Grossi</w:t>
      </w:r>
    </w:p>
    <w:p w14:paraId="10BE6638" w14:textId="391E4352" w:rsidR="00AA4DCB" w:rsidRPr="00D84A52" w:rsidRDefault="00AA4DCB" w:rsidP="00AA4DCB">
      <w:pPr>
        <w:ind w:left="0"/>
        <w:jc w:val="right"/>
        <w:rPr>
          <w:rFonts w:ascii="Verdana" w:eastAsia="Calibri" w:hAnsi="Verdana" w:cs="Times New Roman"/>
          <w:sz w:val="20"/>
          <w:szCs w:val="20"/>
          <w:lang w:val="es-ES"/>
        </w:rPr>
      </w:pPr>
      <w:r>
        <w:rPr>
          <w:rFonts w:ascii="Verdana" w:hAnsi="Verdana"/>
          <w:sz w:val="20"/>
          <w:szCs w:val="20"/>
        </w:rPr>
        <w:t>Juez</w:t>
      </w:r>
    </w:p>
    <w:sectPr w:rsidR="00AA4DCB" w:rsidRPr="00D84A52" w:rsidSect="000C268E">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1758" w14:textId="77777777" w:rsidR="00384B5B" w:rsidRDefault="00384B5B" w:rsidP="00C1764C">
      <w:pPr>
        <w:spacing w:line="240" w:lineRule="auto"/>
      </w:pPr>
      <w:r>
        <w:separator/>
      </w:r>
    </w:p>
  </w:endnote>
  <w:endnote w:type="continuationSeparator" w:id="0">
    <w:p w14:paraId="27186901" w14:textId="77777777" w:rsidR="00384B5B" w:rsidRDefault="00384B5B" w:rsidP="00C17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59692"/>
      <w:docPartObj>
        <w:docPartGallery w:val="Page Numbers (Bottom of Page)"/>
        <w:docPartUnique/>
      </w:docPartObj>
    </w:sdtPr>
    <w:sdtEndPr/>
    <w:sdtContent>
      <w:p w14:paraId="6B96EC65" w14:textId="77777777" w:rsidR="00E32A56" w:rsidRDefault="00E32A56">
        <w:pPr>
          <w:pStyle w:val="Piedepgina"/>
          <w:jc w:val="right"/>
        </w:pPr>
        <w:r>
          <w:fldChar w:fldCharType="begin"/>
        </w:r>
        <w:r>
          <w:instrText>PAGE   \* MERGEFORMAT</w:instrText>
        </w:r>
        <w:r>
          <w:fldChar w:fldCharType="separate"/>
        </w:r>
        <w:r w:rsidR="00744DF8" w:rsidRPr="00744DF8">
          <w:rPr>
            <w:noProof/>
            <w:lang w:val="es-ES"/>
          </w:rPr>
          <w:t>12</w:t>
        </w:r>
        <w:r>
          <w:fldChar w:fldCharType="end"/>
        </w:r>
      </w:p>
    </w:sdtContent>
  </w:sdt>
  <w:p w14:paraId="17F7DFCC" w14:textId="77777777" w:rsidR="00E32A56" w:rsidRDefault="00E32A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4CF9" w14:textId="77777777" w:rsidR="00384B5B" w:rsidRDefault="00384B5B" w:rsidP="00C1764C">
      <w:pPr>
        <w:spacing w:line="240" w:lineRule="auto"/>
      </w:pPr>
      <w:r>
        <w:separator/>
      </w:r>
    </w:p>
  </w:footnote>
  <w:footnote w:type="continuationSeparator" w:id="0">
    <w:p w14:paraId="2E27F8B2" w14:textId="77777777" w:rsidR="00384B5B" w:rsidRDefault="00384B5B" w:rsidP="00C1764C">
      <w:pPr>
        <w:spacing w:line="240" w:lineRule="auto"/>
      </w:pPr>
      <w:r>
        <w:continuationSeparator/>
      </w:r>
    </w:p>
  </w:footnote>
  <w:footnote w:id="1">
    <w:p w14:paraId="7CC0AA65" w14:textId="1177F16D"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En adelante, la Resolución.</w:t>
      </w:r>
    </w:p>
  </w:footnote>
  <w:footnote w:id="2">
    <w:p w14:paraId="25977542" w14:textId="56812EC8"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00B347C9" w:rsidRPr="00E725B3">
        <w:rPr>
          <w:rFonts w:ascii="Verdana" w:hAnsi="Verdana"/>
          <w:sz w:val="16"/>
          <w:szCs w:val="16"/>
        </w:rPr>
        <w:t>Párrafo. 1 .de Resolución. En lo sucesivo, “</w:t>
      </w:r>
      <w:proofErr w:type="spellStart"/>
      <w:r w:rsidR="00B347C9" w:rsidRPr="00E725B3">
        <w:rPr>
          <w:rFonts w:ascii="Verdana" w:hAnsi="Verdana"/>
          <w:sz w:val="16"/>
          <w:szCs w:val="16"/>
        </w:rPr>
        <w:t>párr.”y</w:t>
      </w:r>
      <w:proofErr w:type="spellEnd"/>
      <w:r w:rsidR="00B347C9" w:rsidRPr="00E725B3">
        <w:rPr>
          <w:rFonts w:ascii="Verdana" w:hAnsi="Verdana"/>
          <w:sz w:val="16"/>
          <w:szCs w:val="16"/>
        </w:rPr>
        <w:t xml:space="preserve"> “</w:t>
      </w:r>
      <w:proofErr w:type="spellStart"/>
      <w:r w:rsidR="00B347C9" w:rsidRPr="00E725B3">
        <w:rPr>
          <w:rFonts w:ascii="Verdana" w:hAnsi="Verdana"/>
          <w:sz w:val="16"/>
          <w:szCs w:val="16"/>
        </w:rPr>
        <w:t>párrs</w:t>
      </w:r>
      <w:proofErr w:type="spellEnd"/>
      <w:r w:rsidR="00B347C9" w:rsidRPr="00E725B3">
        <w:rPr>
          <w:rFonts w:ascii="Verdana" w:hAnsi="Verdana"/>
          <w:sz w:val="16"/>
          <w:szCs w:val="16"/>
        </w:rPr>
        <w:t>.” significarán “párrafo” y “párrafos”, respectivamente y corresponderán a los del documento que se cite.</w:t>
      </w:r>
    </w:p>
  </w:footnote>
  <w:footnote w:id="3">
    <w:p w14:paraId="3E7A215F" w14:textId="77777777" w:rsidR="00B827EA" w:rsidRPr="00E725B3" w:rsidRDefault="00B827EA"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En adelante, la Petición.</w:t>
      </w:r>
    </w:p>
  </w:footnote>
  <w:footnote w:id="4">
    <w:p w14:paraId="6E5EFC6C" w14:textId="77777777" w:rsidR="002E1045" w:rsidRPr="00E725B3" w:rsidRDefault="002E1045"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 33.</w:t>
      </w:r>
    </w:p>
  </w:footnote>
  <w:footnote w:id="5">
    <w:p w14:paraId="4D069CF1" w14:textId="77777777"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w:t>
      </w:r>
      <w:r w:rsidR="00E20FC7" w:rsidRPr="00E725B3">
        <w:rPr>
          <w:rFonts w:ascii="Verdana" w:hAnsi="Verdana"/>
          <w:sz w:val="16"/>
          <w:szCs w:val="16"/>
        </w:rPr>
        <w:t>Párr. 41</w:t>
      </w:r>
      <w:r w:rsidRPr="00E725B3">
        <w:rPr>
          <w:rFonts w:ascii="Verdana" w:hAnsi="Verdana"/>
          <w:sz w:val="16"/>
          <w:szCs w:val="16"/>
        </w:rPr>
        <w:t>.</w:t>
      </w:r>
    </w:p>
  </w:footnote>
  <w:footnote w:id="6">
    <w:p w14:paraId="11BF9E00" w14:textId="77777777" w:rsidR="00D74A21" w:rsidRPr="00E725B3" w:rsidRDefault="00D74A21"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En adelante, la Resolución del 28 de mayo de 2019.</w:t>
      </w:r>
    </w:p>
  </w:footnote>
  <w:footnote w:id="7">
    <w:p w14:paraId="7F1D0E4F" w14:textId="77777777" w:rsidR="00B347C9" w:rsidRPr="00E725B3" w:rsidRDefault="00B347C9"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Párr.41.</w:t>
      </w:r>
    </w:p>
  </w:footnote>
  <w:footnote w:id="8">
    <w:p w14:paraId="18BAE244" w14:textId="2E30C39F"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w:t>
      </w:r>
      <w:r w:rsidRPr="00E725B3">
        <w:rPr>
          <w:rFonts w:ascii="Verdana" w:hAnsi="Verdana"/>
          <w:i/>
          <w:sz w:val="16"/>
          <w:szCs w:val="16"/>
        </w:rPr>
        <w:t>Conocer: Actuar</w:t>
      </w:r>
      <w:r w:rsidR="006C122B">
        <w:rPr>
          <w:rFonts w:ascii="Verdana" w:eastAsia="Arial Unicode MS" w:hAnsi="Verdana" w:cs="Arial Unicode MS"/>
          <w:i/>
          <w:color w:val="000000"/>
          <w:spacing w:val="4"/>
          <w:sz w:val="16"/>
          <w:szCs w:val="16"/>
          <w:shd w:val="clear" w:color="auto" w:fill="FFFFFF"/>
        </w:rPr>
        <w:t xml:space="preserve"> </w:t>
      </w:r>
      <w:r w:rsidRPr="00E725B3">
        <w:rPr>
          <w:rFonts w:ascii="Verdana" w:hAnsi="Verdana"/>
          <w:i/>
          <w:sz w:val="16"/>
          <w:szCs w:val="16"/>
        </w:rPr>
        <w:t>en</w:t>
      </w:r>
      <w:r w:rsidR="006C122B">
        <w:rPr>
          <w:rFonts w:ascii="Verdana" w:eastAsia="Arial Unicode MS" w:hAnsi="Verdana" w:cs="Arial Unicode MS"/>
          <w:i/>
          <w:color w:val="000000"/>
          <w:spacing w:val="4"/>
          <w:sz w:val="16"/>
          <w:szCs w:val="16"/>
          <w:shd w:val="clear" w:color="auto" w:fill="FFFFFF"/>
        </w:rPr>
        <w:t xml:space="preserve"> </w:t>
      </w:r>
      <w:r w:rsidRPr="00E725B3">
        <w:rPr>
          <w:rFonts w:ascii="Verdana" w:hAnsi="Verdana"/>
          <w:i/>
          <w:sz w:val="16"/>
          <w:szCs w:val="16"/>
        </w:rPr>
        <w:t>un</w:t>
      </w:r>
      <w:r w:rsidR="006C122B">
        <w:rPr>
          <w:rFonts w:ascii="Verdana" w:eastAsia="Arial Unicode MS" w:hAnsi="Verdana" w:cs="Arial Unicode MS"/>
          <w:i/>
          <w:color w:val="000000"/>
          <w:spacing w:val="4"/>
          <w:sz w:val="16"/>
          <w:szCs w:val="16"/>
          <w:shd w:val="clear" w:color="auto" w:fill="FFFFFF"/>
        </w:rPr>
        <w:t xml:space="preserve"> </w:t>
      </w:r>
      <w:r w:rsidRPr="00E725B3">
        <w:rPr>
          <w:rFonts w:ascii="Verdana" w:hAnsi="Verdana"/>
          <w:i/>
          <w:sz w:val="16"/>
          <w:szCs w:val="16"/>
        </w:rPr>
        <w:t>asunto</w:t>
      </w:r>
      <w:r w:rsidR="006C122B">
        <w:rPr>
          <w:rFonts w:ascii="Verdana" w:eastAsia="Arial Unicode MS" w:hAnsi="Verdana" w:cs="Arial Unicode MS"/>
          <w:i/>
          <w:color w:val="000000"/>
          <w:spacing w:val="4"/>
          <w:sz w:val="16"/>
          <w:szCs w:val="16"/>
          <w:shd w:val="clear" w:color="auto" w:fill="FFFFFF"/>
        </w:rPr>
        <w:t xml:space="preserve"> </w:t>
      </w:r>
      <w:r w:rsidRPr="00E725B3">
        <w:rPr>
          <w:rFonts w:ascii="Verdana" w:hAnsi="Verdana"/>
          <w:i/>
          <w:sz w:val="16"/>
          <w:szCs w:val="16"/>
        </w:rPr>
        <w:t>con</w:t>
      </w:r>
      <w:r w:rsidR="006C122B">
        <w:rPr>
          <w:rFonts w:ascii="Verdana" w:eastAsia="Arial Unicode MS" w:hAnsi="Verdana" w:cs="Arial Unicode MS"/>
          <w:i/>
          <w:color w:val="000000"/>
          <w:spacing w:val="4"/>
          <w:sz w:val="16"/>
          <w:szCs w:val="16"/>
          <w:shd w:val="clear" w:color="auto" w:fill="FFFFFF"/>
        </w:rPr>
        <w:t xml:space="preserve"> </w:t>
      </w:r>
      <w:r w:rsidRPr="00E725B3">
        <w:rPr>
          <w:rFonts w:ascii="Verdana" w:hAnsi="Verdana"/>
          <w:i/>
          <w:sz w:val="16"/>
          <w:szCs w:val="16"/>
        </w:rPr>
        <w:t>facultad</w:t>
      </w:r>
      <w:r w:rsidR="006C122B">
        <w:rPr>
          <w:rFonts w:ascii="Verdana" w:eastAsia="Arial Unicode MS" w:hAnsi="Verdana" w:cs="Arial Unicode MS"/>
          <w:i/>
          <w:color w:val="000000"/>
          <w:spacing w:val="4"/>
          <w:sz w:val="16"/>
          <w:szCs w:val="16"/>
          <w:shd w:val="clear" w:color="auto" w:fill="FFFFFF"/>
        </w:rPr>
        <w:t xml:space="preserve"> </w:t>
      </w:r>
      <w:r w:rsidRPr="00E725B3">
        <w:rPr>
          <w:rFonts w:ascii="Verdana" w:hAnsi="Verdana"/>
          <w:i/>
          <w:sz w:val="16"/>
          <w:szCs w:val="16"/>
        </w:rPr>
        <w:t>legítima</w:t>
      </w:r>
      <w:r w:rsidR="006C122B">
        <w:rPr>
          <w:rFonts w:ascii="Verdana" w:eastAsia="Arial Unicode MS" w:hAnsi="Verdana" w:cs="Arial Unicode MS"/>
          <w:i/>
          <w:color w:val="000000"/>
          <w:spacing w:val="4"/>
          <w:sz w:val="16"/>
          <w:szCs w:val="16"/>
          <w:shd w:val="clear" w:color="auto" w:fill="FFFFFF"/>
        </w:rPr>
        <w:t xml:space="preserve"> </w:t>
      </w:r>
      <w:r w:rsidRPr="00E725B3">
        <w:rPr>
          <w:rFonts w:ascii="Verdana" w:hAnsi="Verdana"/>
          <w:i/>
          <w:sz w:val="16"/>
          <w:szCs w:val="16"/>
        </w:rPr>
        <w:t>para</w:t>
      </w:r>
      <w:r w:rsidR="006C122B">
        <w:rPr>
          <w:rFonts w:ascii="Verdana" w:eastAsia="Arial Unicode MS" w:hAnsi="Verdana" w:cs="Arial Unicode MS"/>
          <w:i/>
          <w:color w:val="000000"/>
          <w:spacing w:val="4"/>
          <w:sz w:val="16"/>
          <w:szCs w:val="16"/>
          <w:shd w:val="clear" w:color="auto" w:fill="FFFFFF"/>
        </w:rPr>
        <w:t xml:space="preserve"> </w:t>
      </w:r>
      <w:r w:rsidRPr="00E725B3">
        <w:rPr>
          <w:rFonts w:ascii="Verdana" w:hAnsi="Verdana"/>
          <w:i/>
          <w:sz w:val="16"/>
          <w:szCs w:val="16"/>
        </w:rPr>
        <w:t>ello</w:t>
      </w:r>
      <w:r w:rsidRPr="00E725B3">
        <w:rPr>
          <w:rFonts w:ascii="Verdana" w:hAnsi="Verdana"/>
          <w:sz w:val="16"/>
          <w:szCs w:val="16"/>
        </w:rPr>
        <w:t>”</w:t>
      </w:r>
      <w:r w:rsidRPr="00E725B3">
        <w:rPr>
          <w:rFonts w:ascii="Verdana" w:eastAsia="Arial Unicode MS" w:hAnsi="Verdana" w:cs="Arial Unicode MS"/>
          <w:color w:val="000000"/>
          <w:spacing w:val="4"/>
          <w:sz w:val="16"/>
          <w:szCs w:val="16"/>
          <w:shd w:val="clear" w:color="auto" w:fill="FFFFFF"/>
        </w:rPr>
        <w:t>, Diccionario de la Lengua Española, Real Academia Española, 2018.</w:t>
      </w:r>
    </w:p>
  </w:footnote>
  <w:footnote w:id="9">
    <w:p w14:paraId="5486FE07" w14:textId="294F6109"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w:t>
      </w:r>
      <w:r w:rsidRPr="00E725B3">
        <w:rPr>
          <w:rFonts w:ascii="Verdana" w:eastAsiaTheme="minorEastAsia" w:hAnsi="Verdana"/>
          <w:i/>
          <w:iCs/>
          <w:sz w:val="16"/>
          <w:szCs w:val="16"/>
          <w:lang w:val="es-MX"/>
        </w:rPr>
        <w:t xml:space="preserve">Caso Gutiérrez Soler. </w:t>
      </w:r>
      <w:r w:rsidRPr="00E725B3">
        <w:rPr>
          <w:rFonts w:ascii="Verdana" w:eastAsiaTheme="minorEastAsia" w:hAnsi="Verdana"/>
          <w:sz w:val="16"/>
          <w:szCs w:val="16"/>
          <w:lang w:val="es-MX"/>
        </w:rPr>
        <w:t xml:space="preserve">Medidas Provisionales respecto de Colombia. Resolución de la Corte de 30 de junio de 2011; </w:t>
      </w:r>
      <w:r w:rsidRPr="00E725B3">
        <w:rPr>
          <w:rFonts w:ascii="Verdana" w:eastAsiaTheme="minorEastAsia" w:hAnsi="Verdana"/>
          <w:i/>
          <w:iCs/>
          <w:sz w:val="16"/>
          <w:szCs w:val="16"/>
          <w:lang w:val="es-MX"/>
        </w:rPr>
        <w:t xml:space="preserve">Caso Rosendo Cantú y otra. </w:t>
      </w:r>
      <w:r w:rsidRPr="00E725B3">
        <w:rPr>
          <w:rFonts w:ascii="Verdana" w:eastAsiaTheme="minorEastAsia" w:hAnsi="Verdana"/>
          <w:sz w:val="16"/>
          <w:szCs w:val="16"/>
          <w:lang w:val="es-MX"/>
        </w:rPr>
        <w:t xml:space="preserve">Medidas Provisionales respecto de México. Resolución de la Corte de 1 de julio de 2011; </w:t>
      </w:r>
      <w:r w:rsidRPr="00E725B3">
        <w:rPr>
          <w:rFonts w:ascii="Verdana" w:eastAsiaTheme="minorEastAsia" w:hAnsi="Verdana"/>
          <w:i/>
          <w:iCs/>
          <w:sz w:val="16"/>
          <w:szCs w:val="16"/>
          <w:lang w:val="es-MX"/>
        </w:rPr>
        <w:t xml:space="preserve">Caso </w:t>
      </w:r>
      <w:proofErr w:type="spellStart"/>
      <w:r w:rsidRPr="00E725B3">
        <w:rPr>
          <w:rFonts w:ascii="Verdana" w:eastAsiaTheme="minorEastAsia" w:hAnsi="Verdana"/>
          <w:i/>
          <w:iCs/>
          <w:sz w:val="16"/>
          <w:szCs w:val="16"/>
          <w:lang w:val="es-MX"/>
        </w:rPr>
        <w:t>Kawas</w:t>
      </w:r>
      <w:proofErr w:type="spellEnd"/>
      <w:r w:rsidRPr="00E725B3">
        <w:rPr>
          <w:rFonts w:ascii="Verdana" w:eastAsiaTheme="minorEastAsia" w:hAnsi="Verdana"/>
          <w:i/>
          <w:iCs/>
          <w:sz w:val="16"/>
          <w:szCs w:val="16"/>
          <w:lang w:val="es-MX"/>
        </w:rPr>
        <w:t xml:space="preserve"> Fernández. </w:t>
      </w:r>
      <w:r w:rsidRPr="00E725B3">
        <w:rPr>
          <w:rFonts w:ascii="Verdana" w:eastAsiaTheme="minorEastAsia" w:hAnsi="Verdana"/>
          <w:sz w:val="16"/>
          <w:szCs w:val="16"/>
          <w:lang w:val="es-MX"/>
        </w:rPr>
        <w:t>Medidas Provisionales respecto de Honduras. Resolución de la Corte de 5 de julio de 2011</w:t>
      </w:r>
      <w:r w:rsidRPr="00E725B3">
        <w:rPr>
          <w:rFonts w:ascii="Verdana" w:eastAsiaTheme="minorEastAsia" w:hAnsi="Verdana"/>
          <w:sz w:val="16"/>
          <w:szCs w:val="16"/>
          <w:lang w:val="es-ES"/>
        </w:rPr>
        <w:t>;</w:t>
      </w:r>
      <w:r w:rsidRPr="00E725B3">
        <w:rPr>
          <w:rFonts w:ascii="Verdana" w:eastAsiaTheme="minorEastAsia" w:hAnsi="Verdana"/>
          <w:bCs/>
          <w:sz w:val="16"/>
          <w:szCs w:val="16"/>
          <w:lang w:val="es-ES"/>
        </w:rPr>
        <w:t xml:space="preserve"> </w:t>
      </w:r>
      <w:r w:rsidRPr="00E725B3">
        <w:rPr>
          <w:rFonts w:ascii="Verdana" w:eastAsiaTheme="minorEastAsia" w:hAnsi="Verdana"/>
          <w:bCs/>
          <w:i/>
          <w:iCs/>
          <w:sz w:val="16"/>
          <w:szCs w:val="16"/>
          <w:shd w:val="clear" w:color="auto" w:fill="FFFFFF"/>
          <w:lang w:val="es-CR"/>
        </w:rPr>
        <w:t>Caso Pacheco Teruel y otros.</w:t>
      </w:r>
      <w:r w:rsidRPr="00E725B3">
        <w:rPr>
          <w:rFonts w:ascii="Verdana" w:eastAsiaTheme="minorEastAsia" w:hAnsi="Verdana"/>
          <w:bCs/>
          <w:sz w:val="16"/>
          <w:szCs w:val="16"/>
          <w:shd w:val="clear" w:color="auto" w:fill="FFFFFF"/>
          <w:lang w:val="es-CR"/>
        </w:rPr>
        <w:t xml:space="preserve"> Medidas Provisionales respecto de Honduras. Resolución de la Corte de 13 de febrero de 2013; </w:t>
      </w:r>
      <w:r w:rsidRPr="00E725B3">
        <w:rPr>
          <w:rFonts w:ascii="Verdana" w:eastAsiaTheme="minorEastAsia" w:hAnsi="Verdana"/>
          <w:bCs/>
          <w:i/>
          <w:iCs/>
          <w:sz w:val="16"/>
          <w:szCs w:val="16"/>
          <w:shd w:val="clear" w:color="auto" w:fill="FFFFFF"/>
          <w:lang w:val="es-CR"/>
        </w:rPr>
        <w:t xml:space="preserve">Caso Familia Barrios. </w:t>
      </w:r>
      <w:r w:rsidRPr="00E725B3">
        <w:rPr>
          <w:rFonts w:ascii="Verdana" w:eastAsiaTheme="minorEastAsia" w:hAnsi="Verdana"/>
          <w:bCs/>
          <w:sz w:val="16"/>
          <w:szCs w:val="16"/>
          <w:shd w:val="clear" w:color="auto" w:fill="FFFFFF"/>
          <w:lang w:val="es-CR"/>
        </w:rPr>
        <w:t xml:space="preserve">Medidas Provisionales respecto de Venezuela. Resolución de la Corte de 13 de febrero de 2013; </w:t>
      </w:r>
      <w:r w:rsidRPr="00E725B3">
        <w:rPr>
          <w:rFonts w:ascii="Verdana" w:eastAsiaTheme="minorEastAsia" w:hAnsi="Verdana"/>
          <w:bCs/>
          <w:i/>
          <w:iCs/>
          <w:sz w:val="16"/>
          <w:szCs w:val="16"/>
          <w:shd w:val="clear" w:color="auto" w:fill="FFFFFF"/>
          <w:lang w:val="es-CR"/>
        </w:rPr>
        <w:t>Asunto</w:t>
      </w:r>
      <w:r w:rsidRPr="00E725B3">
        <w:rPr>
          <w:rFonts w:ascii="Verdana" w:eastAsiaTheme="minorEastAsia" w:hAnsi="Verdana"/>
          <w:bCs/>
          <w:sz w:val="16"/>
          <w:szCs w:val="16"/>
          <w:shd w:val="clear" w:color="auto" w:fill="FFFFFF"/>
          <w:lang w:val="es-CR"/>
        </w:rPr>
        <w:t xml:space="preserve"> </w:t>
      </w:r>
      <w:r w:rsidRPr="00E725B3">
        <w:rPr>
          <w:rFonts w:ascii="Verdana" w:eastAsiaTheme="minorEastAsia" w:hAnsi="Verdana"/>
          <w:bCs/>
          <w:i/>
          <w:iCs/>
          <w:sz w:val="16"/>
          <w:szCs w:val="16"/>
          <w:shd w:val="clear" w:color="auto" w:fill="FFFFFF"/>
          <w:lang w:val="es-CR"/>
        </w:rPr>
        <w:t xml:space="preserve">Millacura Llaipén y otros. </w:t>
      </w:r>
      <w:r w:rsidRPr="00E725B3">
        <w:rPr>
          <w:rFonts w:ascii="Verdana" w:eastAsiaTheme="minorEastAsia" w:hAnsi="Verdana"/>
          <w:bCs/>
          <w:sz w:val="16"/>
          <w:szCs w:val="16"/>
          <w:shd w:val="clear" w:color="auto" w:fill="FFFFFF"/>
          <w:lang w:val="es-CR"/>
        </w:rPr>
        <w:t xml:space="preserve">Medidas Provisionales respecto de Argentina. Resolución de la Corte de 13 de febrero de 2013; </w:t>
      </w:r>
      <w:r w:rsidRPr="00E725B3">
        <w:rPr>
          <w:rFonts w:ascii="Verdana" w:eastAsiaTheme="minorEastAsia" w:hAnsi="Verdana"/>
          <w:bCs/>
          <w:i/>
          <w:iCs/>
          <w:sz w:val="16"/>
          <w:szCs w:val="16"/>
          <w:shd w:val="clear" w:color="auto" w:fill="FFFFFF"/>
          <w:lang w:val="es-CR"/>
        </w:rPr>
        <w:t xml:space="preserve">Caso Familia Barrios. </w:t>
      </w:r>
      <w:r w:rsidRPr="00E725B3">
        <w:rPr>
          <w:rFonts w:ascii="Verdana" w:eastAsiaTheme="minorEastAsia" w:hAnsi="Verdana"/>
          <w:bCs/>
          <w:sz w:val="16"/>
          <w:szCs w:val="16"/>
          <w:shd w:val="clear" w:color="auto" w:fill="FFFFFF"/>
          <w:lang w:val="es-CR"/>
        </w:rPr>
        <w:t>Medidas Provisionales respecto de Venezuela. Resolución</w:t>
      </w:r>
      <w:r w:rsidRPr="00E725B3">
        <w:rPr>
          <w:rFonts w:ascii="Verdana" w:eastAsiaTheme="minorEastAsia" w:hAnsi="Verdana"/>
          <w:bCs/>
          <w:i/>
          <w:iCs/>
          <w:sz w:val="16"/>
          <w:szCs w:val="16"/>
          <w:shd w:val="clear" w:color="auto" w:fill="FFFFFF"/>
          <w:lang w:val="es-CR"/>
        </w:rPr>
        <w:t xml:space="preserve"> </w:t>
      </w:r>
      <w:r w:rsidRPr="00E725B3">
        <w:rPr>
          <w:rFonts w:ascii="Verdana" w:eastAsiaTheme="minorEastAsia" w:hAnsi="Verdana"/>
          <w:bCs/>
          <w:sz w:val="16"/>
          <w:szCs w:val="16"/>
          <w:shd w:val="clear" w:color="auto" w:fill="FFFFFF"/>
          <w:lang w:val="es-CR"/>
        </w:rPr>
        <w:t xml:space="preserve">de la Corte de 30 de mayo de 2013; </w:t>
      </w:r>
      <w:r w:rsidRPr="00E725B3">
        <w:rPr>
          <w:rFonts w:ascii="Verdana" w:eastAsiaTheme="minorEastAsia" w:hAnsi="Verdana"/>
          <w:bCs/>
          <w:i/>
          <w:iCs/>
          <w:sz w:val="16"/>
          <w:szCs w:val="16"/>
          <w:shd w:val="clear" w:color="auto" w:fill="FFFFFF"/>
          <w:lang w:val="es-CR"/>
        </w:rPr>
        <w:t xml:space="preserve">Caso Artavia Murillo y otros (“Fecundación in vitro”). </w:t>
      </w:r>
      <w:r w:rsidRPr="00E725B3">
        <w:rPr>
          <w:rFonts w:ascii="Verdana" w:eastAsiaTheme="minorEastAsia" w:hAnsi="Verdana"/>
          <w:bCs/>
          <w:sz w:val="16"/>
          <w:szCs w:val="16"/>
          <w:shd w:val="clear" w:color="auto" w:fill="FFFFFF"/>
          <w:lang w:val="es-CR"/>
        </w:rPr>
        <w:t>Solicitud de Medidas Provisionales respecto de Costa Rica. Resolución de la Corte de 31 de marzo de 2014;</w:t>
      </w:r>
      <w:r w:rsidRPr="00E725B3">
        <w:rPr>
          <w:rFonts w:ascii="Verdana" w:eastAsiaTheme="minorEastAsia" w:hAnsi="Verdana"/>
          <w:sz w:val="16"/>
          <w:szCs w:val="16"/>
          <w:lang w:val="es-CR"/>
        </w:rPr>
        <w:t xml:space="preserve"> </w:t>
      </w:r>
      <w:r w:rsidRPr="00E725B3">
        <w:rPr>
          <w:rFonts w:ascii="Verdana" w:eastAsiaTheme="minorEastAsia" w:hAnsi="Verdana"/>
          <w:i/>
          <w:iCs/>
          <w:sz w:val="16"/>
          <w:szCs w:val="16"/>
          <w:lang w:val="es-MX"/>
        </w:rPr>
        <w:t xml:space="preserve">Caso García Prieto y otros. </w:t>
      </w:r>
      <w:r w:rsidRPr="00E725B3">
        <w:rPr>
          <w:rFonts w:ascii="Verdana" w:eastAsiaTheme="minorEastAsia" w:hAnsi="Verdana"/>
          <w:sz w:val="16"/>
          <w:szCs w:val="16"/>
          <w:lang w:val="es-MX"/>
        </w:rPr>
        <w:t xml:space="preserve">Medidas Provisionales respecto de El Salvador. Resolución de la Corte de 26 enero de 2015; </w:t>
      </w:r>
      <w:r w:rsidRPr="00E725B3">
        <w:rPr>
          <w:rFonts w:ascii="Verdana" w:eastAsiaTheme="minorEastAsia" w:hAnsi="Verdana"/>
          <w:i/>
          <w:iCs/>
          <w:sz w:val="16"/>
          <w:szCs w:val="16"/>
          <w:lang w:val="es-MX"/>
        </w:rPr>
        <w:t xml:space="preserve">Caso Mack Chang y otros. </w:t>
      </w:r>
      <w:r w:rsidRPr="00E725B3">
        <w:rPr>
          <w:rFonts w:ascii="Verdana" w:eastAsiaTheme="minorEastAsia" w:hAnsi="Verdana"/>
          <w:sz w:val="16"/>
          <w:szCs w:val="16"/>
          <w:lang w:val="es-MX"/>
        </w:rPr>
        <w:t>Medidas Provisionales respecto de Guatemala. Resolución de la Corte de 26 de enero de 2015, y del mismo tenor que el presente voto y en el escrito</w:t>
      </w:r>
      <w:r w:rsidRPr="00E725B3">
        <w:rPr>
          <w:rFonts w:ascii="Verdana" w:eastAsiaTheme="minorEastAsia" w:hAnsi="Verdana"/>
          <w:b/>
          <w:bCs/>
          <w:sz w:val="16"/>
          <w:szCs w:val="16"/>
          <w:lang w:val="es-MX"/>
        </w:rPr>
        <w:t xml:space="preserve"> </w:t>
      </w:r>
      <w:r w:rsidRPr="00E725B3">
        <w:rPr>
          <w:rFonts w:ascii="Verdana" w:eastAsiaTheme="minorEastAsia" w:hAnsi="Verdana"/>
          <w:sz w:val="16"/>
          <w:szCs w:val="16"/>
          <w:lang w:val="es-MX"/>
        </w:rPr>
        <w:t xml:space="preserve">de </w:t>
      </w:r>
      <w:r w:rsidRPr="00E725B3">
        <w:rPr>
          <w:rFonts w:ascii="Verdana" w:eastAsiaTheme="minorEastAsia" w:hAnsi="Verdana"/>
          <w:i/>
          <w:iCs/>
          <w:sz w:val="16"/>
          <w:szCs w:val="16"/>
          <w:lang w:val="es-MX"/>
        </w:rPr>
        <w:t>Constancia de Queja</w:t>
      </w:r>
      <w:r w:rsidRPr="00E725B3">
        <w:rPr>
          <w:rFonts w:ascii="Verdana" w:eastAsiaTheme="minorEastAsia" w:hAnsi="Verdana"/>
          <w:sz w:val="16"/>
          <w:szCs w:val="16"/>
          <w:lang w:val="es-MX"/>
        </w:rPr>
        <w:t xml:space="preserve"> que, relacionado con las primeras Resoluciones mencionadas, presentó ante la Corte el 17 de agosto de 2011. </w:t>
      </w:r>
      <w:r w:rsidRPr="00E725B3">
        <w:rPr>
          <w:rFonts w:ascii="Verdana" w:eastAsiaTheme="minorEastAsia" w:hAnsi="Verdana"/>
          <w:bCs/>
          <w:color w:val="000000"/>
          <w:sz w:val="16"/>
          <w:szCs w:val="16"/>
          <w:shd w:val="clear" w:color="auto" w:fill="FFFFFF"/>
          <w:lang w:val="es-CR"/>
        </w:rPr>
        <w:t xml:space="preserve">A estos últimos habría que agregar el </w:t>
      </w:r>
      <w:r w:rsidRPr="00E725B3">
        <w:rPr>
          <w:rFonts w:ascii="Verdana" w:eastAsiaTheme="minorEastAsia" w:hAnsi="Verdana"/>
          <w:bCs/>
          <w:i/>
          <w:color w:val="000000"/>
          <w:sz w:val="16"/>
          <w:szCs w:val="16"/>
          <w:shd w:val="clear" w:color="auto" w:fill="FFFFFF"/>
          <w:lang w:val="es-CR"/>
        </w:rPr>
        <w:t>Voto</w:t>
      </w:r>
      <w:r w:rsidRPr="00E725B3">
        <w:rPr>
          <w:rFonts w:ascii="Verdana" w:hAnsi="Verdana"/>
          <w:b/>
          <w:i/>
          <w:sz w:val="16"/>
          <w:szCs w:val="16"/>
        </w:rPr>
        <w:t xml:space="preserve"> </w:t>
      </w:r>
      <w:r w:rsidRPr="00E725B3">
        <w:rPr>
          <w:rFonts w:ascii="Verdana" w:hAnsi="Verdana"/>
          <w:i/>
          <w:sz w:val="16"/>
          <w:szCs w:val="16"/>
        </w:rPr>
        <w:t>Concurrente del Juez Eduardo Vio Grossi, Resolución de la Corte Interamericana</w:t>
      </w:r>
      <w:r w:rsidR="006C122B">
        <w:rPr>
          <w:rFonts w:ascii="Verdana" w:hAnsi="Verdana"/>
          <w:i/>
          <w:sz w:val="16"/>
          <w:szCs w:val="16"/>
        </w:rPr>
        <w:t xml:space="preserve"> de Derechos Humanos, de 22 de n</w:t>
      </w:r>
      <w:r w:rsidRPr="00E725B3">
        <w:rPr>
          <w:rFonts w:ascii="Verdana" w:hAnsi="Verdana"/>
          <w:i/>
          <w:sz w:val="16"/>
          <w:szCs w:val="16"/>
        </w:rPr>
        <w:t>oviembre de 2018, Bá</w:t>
      </w:r>
      <w:r w:rsidR="006C122B">
        <w:rPr>
          <w:rFonts w:ascii="Verdana" w:hAnsi="Verdana"/>
          <w:i/>
          <w:sz w:val="16"/>
          <w:szCs w:val="16"/>
        </w:rPr>
        <w:t>m</w:t>
      </w:r>
      <w:r w:rsidRPr="00E725B3">
        <w:rPr>
          <w:rFonts w:ascii="Verdana" w:hAnsi="Verdana"/>
          <w:i/>
          <w:sz w:val="16"/>
          <w:szCs w:val="16"/>
        </w:rPr>
        <w:t>a</w:t>
      </w:r>
      <w:r w:rsidR="006C122B">
        <w:rPr>
          <w:rFonts w:ascii="Verdana" w:hAnsi="Verdana"/>
          <w:i/>
          <w:sz w:val="16"/>
          <w:szCs w:val="16"/>
        </w:rPr>
        <w:t>c</w:t>
      </w:r>
      <w:r w:rsidRPr="00E725B3">
        <w:rPr>
          <w:rFonts w:ascii="Verdana" w:hAnsi="Verdana"/>
          <w:i/>
          <w:sz w:val="16"/>
          <w:szCs w:val="16"/>
        </w:rPr>
        <w:t>a Velásquez V</w:t>
      </w:r>
      <w:r w:rsidR="006C122B">
        <w:rPr>
          <w:rFonts w:ascii="Verdana" w:hAnsi="Verdana"/>
          <w:i/>
          <w:sz w:val="16"/>
          <w:szCs w:val="16"/>
        </w:rPr>
        <w:t>s</w:t>
      </w:r>
      <w:r w:rsidRPr="00E725B3">
        <w:rPr>
          <w:rFonts w:ascii="Verdana" w:hAnsi="Verdana"/>
          <w:i/>
          <w:sz w:val="16"/>
          <w:szCs w:val="16"/>
        </w:rPr>
        <w:t>. Guatemala, Medidas Provisionales</w:t>
      </w:r>
      <w:r w:rsidRPr="00E725B3">
        <w:rPr>
          <w:rFonts w:ascii="Verdana" w:hAnsi="Verdana"/>
          <w:bCs/>
          <w:i/>
          <w:sz w:val="16"/>
          <w:szCs w:val="16"/>
          <w:lang w:val="es-ES"/>
        </w:rPr>
        <w:t>.</w:t>
      </w:r>
      <w:r w:rsidRPr="00E725B3">
        <w:rPr>
          <w:rFonts w:ascii="Verdana" w:eastAsiaTheme="minorEastAsia" w:hAnsi="Verdana"/>
          <w:bCs/>
          <w:color w:val="000000"/>
          <w:sz w:val="16"/>
          <w:szCs w:val="16"/>
          <w:shd w:val="clear" w:color="auto" w:fill="FFFFFF"/>
          <w:lang w:val="es-CR"/>
        </w:rPr>
        <w:t xml:space="preserve"> el </w:t>
      </w:r>
      <w:r w:rsidRPr="00E725B3">
        <w:rPr>
          <w:rFonts w:ascii="Verdana" w:eastAsiaTheme="minorEastAsia" w:hAnsi="Verdana"/>
          <w:bCs/>
          <w:i/>
          <w:color w:val="000000"/>
          <w:sz w:val="16"/>
          <w:szCs w:val="16"/>
          <w:shd w:val="clear" w:color="auto" w:fill="FFFFFF"/>
          <w:lang w:val="es-CR"/>
        </w:rPr>
        <w:t>Voto Parcialmente Disidente del Juez Eduardo Vio Grossi, Resolución de la Corte Interamericana de Derechos Humanos, de 12 de marzo de 2019, Medidas Provisionales y Supervisión de Cumplimiento de Sentencia, Caso de los Miembros de la Alde</w:t>
      </w:r>
      <w:r w:rsidR="006C122B">
        <w:rPr>
          <w:rFonts w:ascii="Verdana" w:eastAsiaTheme="minorEastAsia" w:hAnsi="Verdana"/>
          <w:bCs/>
          <w:i/>
          <w:color w:val="000000"/>
          <w:sz w:val="16"/>
          <w:szCs w:val="16"/>
          <w:shd w:val="clear" w:color="auto" w:fill="FFFFFF"/>
          <w:lang w:val="es-CR"/>
        </w:rPr>
        <w:t>a</w:t>
      </w:r>
      <w:r w:rsidRPr="00E725B3">
        <w:rPr>
          <w:rFonts w:ascii="Verdana" w:eastAsiaTheme="minorEastAsia" w:hAnsi="Verdana"/>
          <w:bCs/>
          <w:i/>
          <w:color w:val="000000"/>
          <w:sz w:val="16"/>
          <w:szCs w:val="16"/>
          <w:shd w:val="clear" w:color="auto" w:fill="FFFFFF"/>
          <w:lang w:val="es-CR"/>
        </w:rPr>
        <w:t xml:space="preserve"> </w:t>
      </w:r>
      <w:proofErr w:type="spellStart"/>
      <w:r w:rsidRPr="00E725B3">
        <w:rPr>
          <w:rFonts w:ascii="Verdana" w:eastAsiaTheme="minorEastAsia" w:hAnsi="Verdana"/>
          <w:bCs/>
          <w:i/>
          <w:color w:val="000000"/>
          <w:sz w:val="16"/>
          <w:szCs w:val="16"/>
          <w:shd w:val="clear" w:color="auto" w:fill="FFFFFF"/>
          <w:lang w:val="es-CR"/>
        </w:rPr>
        <w:t>Chichupac</w:t>
      </w:r>
      <w:proofErr w:type="spellEnd"/>
      <w:r w:rsidRPr="00E725B3">
        <w:rPr>
          <w:rFonts w:ascii="Verdana" w:eastAsiaTheme="minorEastAsia" w:hAnsi="Verdana"/>
          <w:bCs/>
          <w:i/>
          <w:color w:val="000000"/>
          <w:sz w:val="16"/>
          <w:szCs w:val="16"/>
          <w:shd w:val="clear" w:color="auto" w:fill="FFFFFF"/>
          <w:lang w:val="es-CR"/>
        </w:rPr>
        <w:t xml:space="preserve"> y Comunidades del Municipio de Rabinal, Caso Molina </w:t>
      </w:r>
      <w:proofErr w:type="spellStart"/>
      <w:r w:rsidRPr="00E725B3">
        <w:rPr>
          <w:rFonts w:ascii="Verdana" w:eastAsiaTheme="minorEastAsia" w:hAnsi="Verdana"/>
          <w:bCs/>
          <w:i/>
          <w:color w:val="000000"/>
          <w:sz w:val="16"/>
          <w:szCs w:val="16"/>
          <w:shd w:val="clear" w:color="auto" w:fill="FFFFFF"/>
          <w:lang w:val="es-CR"/>
        </w:rPr>
        <w:t>Thiesen</w:t>
      </w:r>
      <w:proofErr w:type="spellEnd"/>
      <w:r w:rsidRPr="00E725B3">
        <w:rPr>
          <w:rFonts w:ascii="Verdana" w:eastAsiaTheme="minorEastAsia" w:hAnsi="Verdana"/>
          <w:bCs/>
          <w:i/>
          <w:color w:val="000000"/>
          <w:sz w:val="16"/>
          <w:szCs w:val="16"/>
          <w:shd w:val="clear" w:color="auto" w:fill="FFFFFF"/>
          <w:lang w:val="es-CR"/>
        </w:rPr>
        <w:t xml:space="preserve"> y Otros 12 Casos contra Guatemala</w:t>
      </w:r>
      <w:r w:rsidRPr="00E725B3">
        <w:rPr>
          <w:rFonts w:ascii="Verdana" w:eastAsiaTheme="minorEastAsia" w:hAnsi="Verdana"/>
          <w:bCs/>
          <w:color w:val="000000"/>
          <w:sz w:val="16"/>
          <w:szCs w:val="16"/>
          <w:shd w:val="clear" w:color="auto" w:fill="FFFFFF"/>
          <w:lang w:val="es-CR"/>
        </w:rPr>
        <w:t xml:space="preserve"> y</w:t>
      </w:r>
      <w:r w:rsidRPr="00E725B3">
        <w:rPr>
          <w:rFonts w:ascii="Verdana" w:eastAsiaTheme="minorEastAsia" w:hAnsi="Verdana"/>
          <w:bCs/>
          <w:i/>
          <w:color w:val="000000"/>
          <w:sz w:val="16"/>
          <w:szCs w:val="16"/>
          <w:shd w:val="clear" w:color="auto" w:fill="FFFFFF"/>
          <w:lang w:val="es-CR"/>
        </w:rPr>
        <w:t xml:space="preserve"> </w:t>
      </w:r>
      <w:r w:rsidRPr="00E725B3">
        <w:rPr>
          <w:rFonts w:ascii="Verdana" w:eastAsiaTheme="minorEastAsia" w:hAnsi="Verdana"/>
          <w:i/>
          <w:sz w:val="16"/>
          <w:szCs w:val="16"/>
          <w:lang w:val="es-PR"/>
        </w:rPr>
        <w:t>Voto Disidente del Juez Eduardo Vio Grossi, Resolución de la Corte Interamerican</w:t>
      </w:r>
      <w:r w:rsidR="006C122B">
        <w:rPr>
          <w:rFonts w:ascii="Verdana" w:eastAsiaTheme="minorEastAsia" w:hAnsi="Verdana"/>
          <w:i/>
          <w:sz w:val="16"/>
          <w:szCs w:val="16"/>
          <w:lang w:val="es-PR"/>
        </w:rPr>
        <w:t>a de Derechos Humanos, de 8 de f</w:t>
      </w:r>
      <w:r w:rsidRPr="00E725B3">
        <w:rPr>
          <w:rFonts w:ascii="Verdana" w:eastAsiaTheme="minorEastAsia" w:hAnsi="Verdana"/>
          <w:i/>
          <w:sz w:val="16"/>
          <w:szCs w:val="16"/>
          <w:lang w:val="es-PR"/>
        </w:rPr>
        <w:t xml:space="preserve">ebrero de 2018, Medidas Provisionales respecto del Perú, </w:t>
      </w:r>
      <w:r w:rsidRPr="00E725B3">
        <w:rPr>
          <w:rFonts w:ascii="Verdana" w:eastAsiaTheme="minorEastAsia" w:hAnsi="Verdana"/>
          <w:bCs/>
          <w:i/>
          <w:color w:val="000000"/>
          <w:sz w:val="16"/>
          <w:szCs w:val="16"/>
          <w:shd w:val="clear" w:color="auto" w:fill="FFFFFF"/>
          <w:lang w:val="es-CR"/>
        </w:rPr>
        <w:t>Caso Durand y Ugarte Vs. Perú.</w:t>
      </w:r>
    </w:p>
  </w:footnote>
  <w:footnote w:id="10">
    <w:p w14:paraId="59CC3CA4" w14:textId="77777777"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En adelante, la Convención.</w:t>
      </w:r>
    </w:p>
  </w:footnote>
  <w:footnote w:id="11">
    <w:p w14:paraId="0B3F4137" w14:textId="77777777" w:rsidR="006C2DEA" w:rsidRPr="00E725B3" w:rsidRDefault="006C2DEA" w:rsidP="004430B3">
      <w:pPr>
        <w:pStyle w:val="Textonotapie"/>
        <w:ind w:left="0"/>
        <w:rPr>
          <w:rFonts w:ascii="Verdana" w:hAnsi="Verdana"/>
          <w:sz w:val="16"/>
          <w:szCs w:val="16"/>
        </w:rPr>
      </w:pPr>
      <w:r w:rsidRPr="00E725B3">
        <w:rPr>
          <w:rStyle w:val="Refdenotaalpie"/>
          <w:rFonts w:ascii="Verdana" w:hAnsi="Verdana"/>
          <w:sz w:val="16"/>
          <w:szCs w:val="16"/>
        </w:rPr>
        <w:footnoteRef/>
      </w:r>
      <w:r w:rsidR="005C0054" w:rsidRPr="00E725B3">
        <w:rPr>
          <w:rFonts w:ascii="Verdana" w:hAnsi="Verdana"/>
          <w:i/>
          <w:sz w:val="16"/>
          <w:szCs w:val="16"/>
        </w:rPr>
        <w:t xml:space="preserve"> “</w:t>
      </w:r>
      <w:r w:rsidR="005C0054" w:rsidRPr="00E725B3">
        <w:rPr>
          <w:rFonts w:ascii="Verdana" w:hAnsi="Verdana"/>
          <w:i/>
          <w:sz w:val="16"/>
          <w:szCs w:val="16"/>
          <w:lang w:val="es-ES"/>
        </w:rPr>
        <w:t>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footnote>
  <w:footnote w:id="12">
    <w:p w14:paraId="14B58219" w14:textId="77777777" w:rsidR="00E32A56" w:rsidRPr="00E725B3" w:rsidRDefault="00E32A56" w:rsidP="00E725B3">
      <w:pPr>
        <w:spacing w:line="240" w:lineRule="auto"/>
        <w:ind w:left="0"/>
        <w:rPr>
          <w:rFonts w:ascii="Verdana" w:hAnsi="Verdana"/>
          <w:i/>
          <w:sz w:val="16"/>
          <w:szCs w:val="16"/>
          <w:lang w:val="es-ES"/>
        </w:rPr>
      </w:pPr>
      <w:r w:rsidRPr="00E725B3">
        <w:rPr>
          <w:rStyle w:val="Refdenotaalpie"/>
          <w:rFonts w:ascii="Verdana" w:hAnsi="Verdana"/>
          <w:i/>
          <w:sz w:val="16"/>
          <w:szCs w:val="16"/>
        </w:rPr>
        <w:footnoteRef/>
      </w:r>
      <w:r w:rsidRPr="00E725B3">
        <w:rPr>
          <w:rFonts w:ascii="Verdana" w:hAnsi="Verdana"/>
          <w:i/>
          <w:sz w:val="16"/>
          <w:szCs w:val="16"/>
        </w:rPr>
        <w:t xml:space="preserve"> “</w:t>
      </w:r>
      <w:r w:rsidR="005C0054" w:rsidRPr="00E725B3">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13">
    <w:p w14:paraId="124CA585" w14:textId="77777777" w:rsidR="00E32A56" w:rsidRPr="00E725B3" w:rsidRDefault="00E32A56" w:rsidP="00E725B3">
      <w:pPr>
        <w:pStyle w:val="Textonotapie"/>
        <w:ind w:left="0"/>
        <w:rPr>
          <w:rFonts w:ascii="Verdana" w:hAnsi="Verdana"/>
          <w:i/>
          <w:sz w:val="16"/>
          <w:szCs w:val="16"/>
        </w:rPr>
      </w:pPr>
      <w:r w:rsidRPr="00E725B3">
        <w:rPr>
          <w:rStyle w:val="Refdenotaalpie"/>
          <w:rFonts w:ascii="Verdana" w:hAnsi="Verdana"/>
          <w:i/>
          <w:sz w:val="16"/>
          <w:szCs w:val="16"/>
        </w:rPr>
        <w:footnoteRef/>
      </w:r>
      <w:r w:rsidRPr="00E725B3">
        <w:rPr>
          <w:rFonts w:ascii="Verdana" w:hAnsi="Verdana"/>
          <w:i/>
          <w:sz w:val="16"/>
          <w:szCs w:val="16"/>
        </w:rPr>
        <w:t xml:space="preserve"> “</w:t>
      </w:r>
      <w:r w:rsidRPr="00E725B3">
        <w:rPr>
          <w:rFonts w:ascii="Verdana" w:hAnsi="Verdana"/>
          <w:i/>
          <w:sz w:val="16"/>
          <w:szCs w:val="16"/>
          <w:lang w:val="es-ES"/>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4">
    <w:p w14:paraId="217687C8" w14:textId="2FD38793"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En adelante, </w:t>
      </w:r>
      <w:r w:rsidR="000D75A7">
        <w:rPr>
          <w:rFonts w:ascii="Verdana" w:hAnsi="Verdana"/>
          <w:sz w:val="16"/>
          <w:szCs w:val="16"/>
        </w:rPr>
        <w:t>la Comisión</w:t>
      </w:r>
      <w:r w:rsidRPr="00E725B3">
        <w:rPr>
          <w:rFonts w:ascii="Verdana" w:hAnsi="Verdana"/>
          <w:sz w:val="16"/>
          <w:szCs w:val="16"/>
        </w:rPr>
        <w:t>.</w:t>
      </w:r>
    </w:p>
  </w:footnote>
  <w:footnote w:id="15">
    <w:p w14:paraId="5B43BA6D" w14:textId="3D2653A6" w:rsidR="00BD5162" w:rsidRPr="00E725B3" w:rsidRDefault="005C0054" w:rsidP="00E725B3">
      <w:pPr>
        <w:autoSpaceDE w:val="0"/>
        <w:autoSpaceDN w:val="0"/>
        <w:adjustRightInd w:val="0"/>
        <w:spacing w:line="240" w:lineRule="auto"/>
        <w:ind w:left="0"/>
        <w:rPr>
          <w:rFonts w:ascii="Verdana" w:hAnsi="Verdana" w:cs="Verdana"/>
          <w:i/>
          <w:sz w:val="16"/>
          <w:szCs w:val="16"/>
        </w:rPr>
      </w:pPr>
      <w:r w:rsidRPr="00E725B3">
        <w:rPr>
          <w:rStyle w:val="Refdenotaalpie"/>
          <w:rFonts w:ascii="Verdana" w:hAnsi="Verdana"/>
          <w:sz w:val="16"/>
          <w:szCs w:val="16"/>
        </w:rPr>
        <w:footnoteRef/>
      </w:r>
      <w:r w:rsidRPr="00E725B3">
        <w:rPr>
          <w:rFonts w:ascii="Verdana" w:hAnsi="Verdana"/>
          <w:sz w:val="16"/>
          <w:szCs w:val="16"/>
        </w:rPr>
        <w:t xml:space="preserve"> Art.</w:t>
      </w:r>
      <w:r w:rsidR="00AB5241">
        <w:rPr>
          <w:rFonts w:ascii="Verdana" w:hAnsi="Verdana"/>
          <w:sz w:val="16"/>
          <w:szCs w:val="16"/>
        </w:rPr>
        <w:t xml:space="preserve"> </w:t>
      </w:r>
      <w:r w:rsidRPr="00E725B3">
        <w:rPr>
          <w:rFonts w:ascii="Verdana" w:hAnsi="Verdana"/>
          <w:sz w:val="16"/>
          <w:szCs w:val="16"/>
        </w:rPr>
        <w:t xml:space="preserve">27, </w:t>
      </w:r>
      <w:r w:rsidR="00BD5162" w:rsidRPr="00E725B3">
        <w:rPr>
          <w:rFonts w:ascii="Verdana" w:hAnsi="Verdana"/>
          <w:sz w:val="16"/>
          <w:szCs w:val="16"/>
        </w:rPr>
        <w:t xml:space="preserve"> </w:t>
      </w:r>
      <w:proofErr w:type="spellStart"/>
      <w:r w:rsidRPr="00E725B3">
        <w:rPr>
          <w:rFonts w:ascii="Verdana" w:hAnsi="Verdana"/>
          <w:sz w:val="16"/>
          <w:szCs w:val="16"/>
        </w:rPr>
        <w:t>N°s</w:t>
      </w:r>
      <w:proofErr w:type="spellEnd"/>
      <w:r w:rsidRPr="00E725B3">
        <w:rPr>
          <w:rFonts w:ascii="Verdana" w:hAnsi="Verdana"/>
          <w:sz w:val="16"/>
          <w:szCs w:val="16"/>
        </w:rPr>
        <w:t xml:space="preserve"> 1 y 2: “</w:t>
      </w:r>
      <w:r w:rsidR="00BD5162" w:rsidRPr="00E725B3">
        <w:rPr>
          <w:rFonts w:ascii="Verdana" w:hAnsi="Verdana"/>
          <w:sz w:val="16"/>
          <w:szCs w:val="16"/>
        </w:rPr>
        <w:t xml:space="preserve">1. </w:t>
      </w:r>
      <w:r w:rsidR="00BD5162" w:rsidRPr="00E725B3">
        <w:rPr>
          <w:rFonts w:ascii="Verdana" w:hAnsi="Verdana" w:cs="Verdana"/>
          <w:i/>
          <w:sz w:val="16"/>
          <w:szCs w:val="16"/>
        </w:rPr>
        <w:t>En cualquier estado del procedimiento, siempre que se trate de casos de extrema gravedad y urgencia y cuando sea necesario para evitar daños irreparables a las personas, la Corte, de oficio, podrá ordenar las medidas provisionales que considere pertinentes, en los términos del artículo 63.2 de la Convención.</w:t>
      </w:r>
    </w:p>
    <w:p w14:paraId="5053DF55" w14:textId="77777777" w:rsidR="005C0054" w:rsidRPr="00E725B3" w:rsidRDefault="00BD5162" w:rsidP="00E725B3">
      <w:pPr>
        <w:autoSpaceDE w:val="0"/>
        <w:autoSpaceDN w:val="0"/>
        <w:adjustRightInd w:val="0"/>
        <w:spacing w:line="240" w:lineRule="auto"/>
        <w:ind w:left="0"/>
        <w:rPr>
          <w:rFonts w:ascii="Verdana" w:hAnsi="Verdana" w:cs="Verdana"/>
          <w:i/>
          <w:sz w:val="16"/>
          <w:szCs w:val="16"/>
        </w:rPr>
      </w:pPr>
      <w:r w:rsidRPr="00E725B3">
        <w:rPr>
          <w:rFonts w:ascii="Verdana" w:hAnsi="Verdana" w:cs="Verdana"/>
          <w:i/>
          <w:sz w:val="16"/>
          <w:szCs w:val="16"/>
        </w:rPr>
        <w:t>2. Si se tratare de asuntos aún no sometidos a su conocimiento, la Corte podrá actuar a solicitud de la Comisión.”</w:t>
      </w:r>
    </w:p>
  </w:footnote>
  <w:footnote w:id="16">
    <w:p w14:paraId="3CABA3C2" w14:textId="77777777" w:rsidR="004F55CA" w:rsidRPr="00E725B3" w:rsidRDefault="00BD5162" w:rsidP="00E725B3">
      <w:pPr>
        <w:spacing w:line="240" w:lineRule="auto"/>
        <w:ind w:left="0"/>
        <w:rPr>
          <w:rFonts w:ascii="Verdana" w:hAnsi="Verdana"/>
          <w:sz w:val="16"/>
          <w:szCs w:val="16"/>
          <w:lang w:val="es-ES"/>
        </w:rPr>
      </w:pPr>
      <w:r w:rsidRPr="00E725B3">
        <w:rPr>
          <w:rStyle w:val="Refdenotaalpie"/>
          <w:rFonts w:ascii="Verdana" w:hAnsi="Verdana"/>
          <w:sz w:val="16"/>
          <w:szCs w:val="16"/>
        </w:rPr>
        <w:footnoteRef/>
      </w:r>
      <w:r w:rsidRPr="00E725B3">
        <w:rPr>
          <w:rFonts w:ascii="Verdana" w:hAnsi="Verdana"/>
          <w:sz w:val="16"/>
          <w:szCs w:val="16"/>
        </w:rPr>
        <w:t xml:space="preserve"> </w:t>
      </w:r>
      <w:r w:rsidRPr="00E725B3">
        <w:rPr>
          <w:rFonts w:ascii="Verdana" w:hAnsi="Verdana"/>
          <w:i/>
          <w:sz w:val="16"/>
          <w:szCs w:val="16"/>
        </w:rPr>
        <w:t>“</w:t>
      </w:r>
      <w:r w:rsidR="004F55CA" w:rsidRPr="00E725B3">
        <w:rPr>
          <w:rFonts w:ascii="Verdana" w:hAnsi="Verdana"/>
          <w:i/>
          <w:sz w:val="16"/>
          <w:szCs w:val="16"/>
          <w:lang w:val="es-ES"/>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14:paraId="1FB62830" w14:textId="77777777" w:rsidR="00BD5162" w:rsidRPr="00E725B3" w:rsidRDefault="00BD5162" w:rsidP="00E725B3">
      <w:pPr>
        <w:pStyle w:val="Textonotapie"/>
        <w:ind w:left="0"/>
        <w:rPr>
          <w:rFonts w:ascii="Verdana" w:hAnsi="Verdana"/>
          <w:sz w:val="16"/>
          <w:szCs w:val="16"/>
        </w:rPr>
      </w:pPr>
    </w:p>
  </w:footnote>
  <w:footnote w:id="17">
    <w:p w14:paraId="2A3083B1" w14:textId="0263CCFE" w:rsidR="004F55CA" w:rsidRPr="00E725B3" w:rsidRDefault="004F55CA"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w:t>
      </w:r>
      <w:r w:rsidR="00091108" w:rsidRPr="00E725B3">
        <w:rPr>
          <w:rFonts w:ascii="Verdana" w:hAnsi="Verdana"/>
          <w:sz w:val="16"/>
          <w:szCs w:val="16"/>
        </w:rPr>
        <w:t>Art.</w:t>
      </w:r>
      <w:r w:rsidR="00AB5241">
        <w:rPr>
          <w:rFonts w:ascii="Verdana" w:hAnsi="Verdana"/>
          <w:sz w:val="16"/>
          <w:szCs w:val="16"/>
        </w:rPr>
        <w:t xml:space="preserve"> </w:t>
      </w:r>
      <w:r w:rsidR="00091108" w:rsidRPr="00E725B3">
        <w:rPr>
          <w:rFonts w:ascii="Verdana" w:hAnsi="Verdana"/>
          <w:sz w:val="16"/>
          <w:szCs w:val="16"/>
        </w:rPr>
        <w:t>66</w:t>
      </w:r>
      <w:r w:rsidRPr="00E725B3">
        <w:rPr>
          <w:rFonts w:ascii="Verdana" w:hAnsi="Verdana"/>
          <w:sz w:val="16"/>
          <w:szCs w:val="16"/>
        </w:rPr>
        <w:t xml:space="preserve"> del Reglamento de la Corte. En adelante, éste se denominará  el Reglamento.</w:t>
      </w:r>
    </w:p>
  </w:footnote>
  <w:footnote w:id="18">
    <w:p w14:paraId="2238F75E" w14:textId="49BBDCE7" w:rsidR="004F55CA" w:rsidRPr="00E725B3" w:rsidRDefault="004F55CA" w:rsidP="00E725B3">
      <w:pPr>
        <w:spacing w:line="240" w:lineRule="auto"/>
        <w:ind w:left="0"/>
        <w:rPr>
          <w:rFonts w:ascii="Verdana" w:hAnsi="Verdana"/>
          <w:sz w:val="16"/>
          <w:szCs w:val="16"/>
          <w:lang w:val="es-ES"/>
        </w:rPr>
      </w:pPr>
      <w:r w:rsidRPr="00E725B3">
        <w:rPr>
          <w:rStyle w:val="Refdenotaalpie"/>
          <w:rFonts w:ascii="Verdana" w:hAnsi="Verdana"/>
          <w:sz w:val="16"/>
          <w:szCs w:val="16"/>
        </w:rPr>
        <w:footnoteRef/>
      </w:r>
      <w:r w:rsidR="00E725B3" w:rsidRPr="00E725B3">
        <w:rPr>
          <w:rFonts w:ascii="Verdana" w:hAnsi="Verdana"/>
          <w:sz w:val="16"/>
          <w:szCs w:val="16"/>
        </w:rPr>
        <w:t xml:space="preserve"> Art.</w:t>
      </w:r>
      <w:r w:rsidR="00AB5241">
        <w:rPr>
          <w:rFonts w:ascii="Verdana" w:hAnsi="Verdana"/>
          <w:sz w:val="16"/>
          <w:szCs w:val="16"/>
        </w:rPr>
        <w:t xml:space="preserve"> </w:t>
      </w:r>
      <w:r w:rsidR="00E725B3" w:rsidRPr="00E725B3">
        <w:rPr>
          <w:rFonts w:ascii="Verdana" w:hAnsi="Verdana"/>
          <w:sz w:val="16"/>
          <w:szCs w:val="16"/>
        </w:rPr>
        <w:t>67, cit. Nota N°16.</w:t>
      </w:r>
      <w:r w:rsidR="00E725B3">
        <w:rPr>
          <w:rFonts w:ascii="Verdana" w:hAnsi="Verdana"/>
          <w:sz w:val="16"/>
          <w:szCs w:val="16"/>
        </w:rPr>
        <w:t xml:space="preserve"> </w:t>
      </w:r>
      <w:r w:rsidR="00394F0A" w:rsidRPr="00E725B3">
        <w:rPr>
          <w:rFonts w:ascii="Verdana" w:hAnsi="Verdana"/>
          <w:sz w:val="16"/>
          <w:szCs w:val="16"/>
        </w:rPr>
        <w:t>En lo sucesivo, siempre que se indique un artículo, se entenderá que es de la Convención, salvo que se indique otro texto normativo.</w:t>
      </w:r>
    </w:p>
  </w:footnote>
  <w:footnote w:id="19">
    <w:p w14:paraId="7E76915C" w14:textId="47165F57" w:rsidR="00091108" w:rsidRPr="00E725B3" w:rsidRDefault="00091108"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Art.</w:t>
      </w:r>
      <w:r w:rsidR="00AB5241">
        <w:rPr>
          <w:rFonts w:ascii="Verdana" w:hAnsi="Verdana"/>
          <w:sz w:val="16"/>
          <w:szCs w:val="16"/>
        </w:rPr>
        <w:t xml:space="preserve"> </w:t>
      </w:r>
      <w:r w:rsidRPr="00E725B3">
        <w:rPr>
          <w:rFonts w:ascii="Verdana" w:hAnsi="Verdana"/>
          <w:sz w:val="16"/>
          <w:szCs w:val="16"/>
        </w:rPr>
        <w:t>76 del Reglamento.</w:t>
      </w:r>
    </w:p>
  </w:footnote>
  <w:footnote w:id="20">
    <w:p w14:paraId="25B369D0" w14:textId="405459C8" w:rsidR="00091108" w:rsidRPr="00E725B3" w:rsidRDefault="00091108"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Art.</w:t>
      </w:r>
      <w:r w:rsidR="00AB5241">
        <w:rPr>
          <w:rFonts w:ascii="Verdana" w:hAnsi="Verdana"/>
          <w:sz w:val="16"/>
          <w:szCs w:val="16"/>
        </w:rPr>
        <w:t xml:space="preserve"> </w:t>
      </w:r>
      <w:r w:rsidRPr="00E725B3">
        <w:rPr>
          <w:rFonts w:ascii="Verdana" w:hAnsi="Verdana"/>
          <w:sz w:val="16"/>
          <w:szCs w:val="16"/>
        </w:rPr>
        <w:t>69 del Reglamento.</w:t>
      </w:r>
    </w:p>
  </w:footnote>
  <w:footnote w:id="21">
    <w:p w14:paraId="6EEF1FE9" w14:textId="77777777" w:rsidR="00091108" w:rsidRPr="00E725B3" w:rsidRDefault="00091108" w:rsidP="00E725B3">
      <w:pPr>
        <w:spacing w:line="240" w:lineRule="auto"/>
        <w:ind w:left="0"/>
        <w:rPr>
          <w:rFonts w:ascii="Verdana" w:hAnsi="Verdana"/>
          <w:sz w:val="16"/>
          <w:szCs w:val="16"/>
          <w:lang w:val="es-ES"/>
        </w:rPr>
      </w:pPr>
      <w:r w:rsidRPr="00E725B3">
        <w:rPr>
          <w:rStyle w:val="Refdenotaalpie"/>
          <w:rFonts w:ascii="Verdana" w:hAnsi="Verdana"/>
          <w:sz w:val="16"/>
          <w:szCs w:val="16"/>
        </w:rPr>
        <w:footnoteRef/>
      </w:r>
      <w:r w:rsidRPr="00E725B3">
        <w:rPr>
          <w:rFonts w:ascii="Verdana" w:hAnsi="Verdana"/>
          <w:sz w:val="16"/>
          <w:szCs w:val="16"/>
        </w:rPr>
        <w:t xml:space="preserve"> </w:t>
      </w:r>
      <w:r w:rsidRPr="00E725B3">
        <w:rPr>
          <w:rFonts w:ascii="Verdana" w:hAnsi="Verdana"/>
          <w:sz w:val="16"/>
          <w:szCs w:val="16"/>
          <w:lang w:val="es-ES"/>
        </w:rPr>
        <w:t xml:space="preserve">Art. 65: </w:t>
      </w:r>
      <w:r w:rsidRPr="00E725B3">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14:paraId="66A81532" w14:textId="77777777" w:rsidR="00091108" w:rsidRPr="00E725B3" w:rsidRDefault="00091108" w:rsidP="00E725B3">
      <w:pPr>
        <w:pStyle w:val="Textonotapie"/>
        <w:rPr>
          <w:rFonts w:ascii="Verdana" w:hAnsi="Verdana"/>
          <w:sz w:val="16"/>
          <w:szCs w:val="16"/>
        </w:rPr>
      </w:pPr>
    </w:p>
  </w:footnote>
  <w:footnote w:id="22">
    <w:p w14:paraId="5941FA33" w14:textId="654A707B" w:rsidR="00E32A56" w:rsidRPr="00E725B3" w:rsidRDefault="00E32A56" w:rsidP="00E725B3">
      <w:pPr>
        <w:spacing w:line="240" w:lineRule="auto"/>
        <w:ind w:left="0"/>
        <w:rPr>
          <w:rFonts w:ascii="Verdana" w:eastAsiaTheme="minorEastAsia" w:hAnsi="Verdana"/>
          <w:sz w:val="16"/>
          <w:szCs w:val="16"/>
          <w:lang w:val="es-MX"/>
        </w:rPr>
      </w:pPr>
      <w:r w:rsidRPr="00E725B3">
        <w:rPr>
          <w:rStyle w:val="Refdenotaalpie"/>
          <w:rFonts w:ascii="Verdana" w:hAnsi="Verdana"/>
          <w:sz w:val="16"/>
          <w:szCs w:val="16"/>
        </w:rPr>
        <w:footnoteRef/>
      </w:r>
      <w:r w:rsidRPr="00E725B3">
        <w:rPr>
          <w:rFonts w:ascii="Verdana" w:hAnsi="Verdana"/>
          <w:sz w:val="16"/>
          <w:szCs w:val="16"/>
        </w:rPr>
        <w:t xml:space="preserve"> </w:t>
      </w:r>
      <w:r w:rsidRPr="00E725B3">
        <w:rPr>
          <w:rFonts w:ascii="Verdana" w:eastAsiaTheme="minorEastAsia" w:hAnsi="Verdana"/>
          <w:sz w:val="16"/>
          <w:szCs w:val="16"/>
          <w:lang w:val="es-PR"/>
        </w:rPr>
        <w:t>Ar</w:t>
      </w:r>
      <w:r w:rsidR="00AB5241">
        <w:rPr>
          <w:rFonts w:ascii="Verdana" w:eastAsiaTheme="minorEastAsia" w:hAnsi="Verdana"/>
          <w:sz w:val="16"/>
          <w:szCs w:val="16"/>
          <w:lang w:val="es-PR"/>
        </w:rPr>
        <w:t>t</w:t>
      </w:r>
      <w:r w:rsidRPr="00E725B3">
        <w:rPr>
          <w:rFonts w:ascii="Verdana" w:eastAsiaTheme="minorEastAsia" w:hAnsi="Verdana"/>
          <w:sz w:val="16"/>
          <w:szCs w:val="16"/>
          <w:lang w:val="es-PR"/>
        </w:rPr>
        <w:t>.</w:t>
      </w:r>
      <w:r w:rsidR="00E725B3">
        <w:rPr>
          <w:rFonts w:ascii="Verdana" w:eastAsiaTheme="minorEastAsia" w:hAnsi="Verdana"/>
          <w:sz w:val="16"/>
          <w:szCs w:val="16"/>
          <w:lang w:val="es-PR"/>
        </w:rPr>
        <w:t>63, cit. Nota N° 13</w:t>
      </w:r>
      <w:r w:rsidRPr="00E725B3">
        <w:rPr>
          <w:rFonts w:ascii="Verdana" w:eastAsiaTheme="minorEastAsia" w:hAnsi="Verdana"/>
          <w:sz w:val="16"/>
          <w:szCs w:val="16"/>
          <w:lang w:val="es-PR"/>
        </w:rPr>
        <w:t>.</w:t>
      </w:r>
    </w:p>
  </w:footnote>
  <w:footnote w:id="23">
    <w:p w14:paraId="53286AF7" w14:textId="77777777"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Párr.36.</w:t>
      </w:r>
    </w:p>
  </w:footnote>
  <w:footnote w:id="24">
    <w:p w14:paraId="509C69E9" w14:textId="73CA1332"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004C610A">
        <w:rPr>
          <w:rFonts w:ascii="Verdana" w:hAnsi="Verdana"/>
          <w:sz w:val="16"/>
          <w:szCs w:val="16"/>
        </w:rPr>
        <w:t xml:space="preserve"> Párr.</w:t>
      </w:r>
      <w:r w:rsidR="00AB5241">
        <w:rPr>
          <w:rFonts w:ascii="Verdana" w:hAnsi="Verdana"/>
          <w:sz w:val="16"/>
          <w:szCs w:val="16"/>
        </w:rPr>
        <w:t>37</w:t>
      </w:r>
      <w:r w:rsidR="004C610A">
        <w:rPr>
          <w:rFonts w:ascii="Verdana" w:hAnsi="Verdana"/>
          <w:sz w:val="16"/>
          <w:szCs w:val="16"/>
        </w:rPr>
        <w:t>.</w:t>
      </w:r>
    </w:p>
  </w:footnote>
  <w:footnote w:id="25">
    <w:p w14:paraId="1B97E3DE" w14:textId="77777777" w:rsidR="00F87793" w:rsidRPr="00E725B3" w:rsidRDefault="00F87793"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Párr.40.</w:t>
      </w:r>
    </w:p>
  </w:footnote>
  <w:footnote w:id="26">
    <w:p w14:paraId="2D0D756B" w14:textId="77777777" w:rsidR="00F87793" w:rsidRPr="00E725B3" w:rsidRDefault="00F87793" w:rsidP="00E725B3">
      <w:pPr>
        <w:pStyle w:val="Textonotapie"/>
        <w:ind w:left="0"/>
        <w:rPr>
          <w:rFonts w:ascii="Verdana" w:hAnsi="Verdana"/>
          <w:sz w:val="16"/>
          <w:szCs w:val="16"/>
        </w:rPr>
      </w:pPr>
      <w:r w:rsidRPr="00E725B3">
        <w:rPr>
          <w:rStyle w:val="Refdenotaalpie"/>
          <w:rFonts w:ascii="Verdana" w:hAnsi="Verdana"/>
          <w:sz w:val="16"/>
          <w:szCs w:val="16"/>
        </w:rPr>
        <w:footnoteRef/>
      </w:r>
      <w:r w:rsidR="00946598" w:rsidRPr="00E725B3">
        <w:rPr>
          <w:rFonts w:ascii="Verdana" w:hAnsi="Verdana"/>
          <w:sz w:val="16"/>
          <w:szCs w:val="16"/>
        </w:rPr>
        <w:t xml:space="preserve"> </w:t>
      </w:r>
      <w:r w:rsidRPr="00E725B3">
        <w:rPr>
          <w:rFonts w:ascii="Verdana" w:hAnsi="Verdana"/>
          <w:sz w:val="16"/>
          <w:szCs w:val="16"/>
        </w:rPr>
        <w:t>Párr.41.</w:t>
      </w:r>
    </w:p>
  </w:footnote>
  <w:footnote w:id="27">
    <w:p w14:paraId="785E656E" w14:textId="77777777" w:rsidR="00946598" w:rsidRPr="00E725B3" w:rsidRDefault="00946598"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Párr.13.</w:t>
      </w:r>
    </w:p>
  </w:footnote>
  <w:footnote w:id="28">
    <w:p w14:paraId="58662BD0" w14:textId="77777777" w:rsidR="00946598" w:rsidRPr="00E725B3" w:rsidRDefault="00946598"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Párr.14.</w:t>
      </w:r>
    </w:p>
  </w:footnote>
  <w:footnote w:id="29">
    <w:p w14:paraId="62ABB855" w14:textId="77777777"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Dispositivo N° 4 de la Sentencia.</w:t>
      </w:r>
    </w:p>
  </w:footnote>
  <w:footnote w:id="30">
    <w:p w14:paraId="70CB72B0" w14:textId="2A4F5050" w:rsidR="006F3456" w:rsidRPr="00E725B3" w:rsidRDefault="006F3456" w:rsidP="00E725B3">
      <w:pPr>
        <w:pStyle w:val="Textonotapie"/>
        <w:ind w:left="0"/>
        <w:rPr>
          <w:rFonts w:ascii="Verdana" w:hAnsi="Verdana"/>
          <w:sz w:val="16"/>
          <w:szCs w:val="16"/>
        </w:rPr>
      </w:pPr>
      <w:r w:rsidRPr="00E725B3">
        <w:rPr>
          <w:rStyle w:val="Refdenotaalpie"/>
          <w:rFonts w:ascii="Verdana" w:hAnsi="Verdana"/>
          <w:sz w:val="16"/>
          <w:szCs w:val="16"/>
        </w:rPr>
        <w:footnoteRef/>
      </w:r>
      <w:r w:rsidR="004430B3">
        <w:rPr>
          <w:rFonts w:ascii="Verdana" w:hAnsi="Verdana"/>
          <w:sz w:val="16"/>
          <w:szCs w:val="16"/>
        </w:rPr>
        <w:t xml:space="preserve"> Párr</w:t>
      </w:r>
      <w:r w:rsidR="00AB5241">
        <w:rPr>
          <w:rFonts w:ascii="Verdana" w:hAnsi="Verdana"/>
          <w:sz w:val="16"/>
          <w:szCs w:val="16"/>
        </w:rPr>
        <w:t>.</w:t>
      </w:r>
      <w:r w:rsidR="004430B3">
        <w:rPr>
          <w:rFonts w:ascii="Verdana" w:hAnsi="Verdana"/>
          <w:sz w:val="16"/>
          <w:szCs w:val="16"/>
        </w:rPr>
        <w:t xml:space="preserve"> 7</w:t>
      </w:r>
      <w:r w:rsidR="00AB5241">
        <w:rPr>
          <w:rFonts w:ascii="Verdana" w:hAnsi="Verdana"/>
          <w:sz w:val="16"/>
          <w:szCs w:val="16"/>
        </w:rPr>
        <w:t>.</w:t>
      </w:r>
    </w:p>
  </w:footnote>
  <w:footnote w:id="31">
    <w:p w14:paraId="47FBB3A9" w14:textId="2EB4595B" w:rsidR="005B3784" w:rsidRDefault="005B3784" w:rsidP="005B3784">
      <w:pPr>
        <w:pStyle w:val="Textonotapie"/>
        <w:ind w:left="0"/>
      </w:pPr>
      <w:r>
        <w:rPr>
          <w:rStyle w:val="Refdenotaalpie"/>
        </w:rPr>
        <w:footnoteRef/>
      </w:r>
      <w:r>
        <w:t xml:space="preserve"> </w:t>
      </w:r>
      <w:r w:rsidR="004430B3">
        <w:t xml:space="preserve">Dispositivo N° </w:t>
      </w:r>
      <w:r w:rsidR="00AB5241">
        <w:t xml:space="preserve">3 </w:t>
      </w:r>
      <w:r w:rsidR="004430B3">
        <w:t>de la Sentencia respectiva.</w:t>
      </w:r>
    </w:p>
  </w:footnote>
  <w:footnote w:id="32">
    <w:p w14:paraId="1E283FA0" w14:textId="77777777" w:rsidR="004E3FA7" w:rsidRPr="00E725B3" w:rsidRDefault="004E3FA7" w:rsidP="005B3784">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 8.</w:t>
      </w:r>
    </w:p>
  </w:footnote>
  <w:footnote w:id="33">
    <w:p w14:paraId="091D9FD1" w14:textId="6A464C1D" w:rsidR="006C334A" w:rsidRPr="00E725B3" w:rsidRDefault="006C334A"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w:t>
      </w:r>
      <w:r w:rsidR="00AB5241">
        <w:rPr>
          <w:rFonts w:ascii="Verdana" w:hAnsi="Verdana"/>
          <w:sz w:val="16"/>
          <w:szCs w:val="16"/>
        </w:rPr>
        <w:t>.</w:t>
      </w:r>
      <w:r w:rsidRPr="00E725B3">
        <w:rPr>
          <w:rFonts w:ascii="Verdana" w:hAnsi="Verdana"/>
          <w:sz w:val="16"/>
          <w:szCs w:val="16"/>
        </w:rPr>
        <w:t xml:space="preserve"> 13.</w:t>
      </w:r>
    </w:p>
  </w:footnote>
  <w:footnote w:id="34">
    <w:p w14:paraId="5088BB5D" w14:textId="77777777" w:rsidR="002E1045" w:rsidRPr="00E725B3" w:rsidRDefault="002E1045" w:rsidP="00E725B3">
      <w:pPr>
        <w:pStyle w:val="Textonotapie"/>
        <w:ind w:left="0"/>
        <w:rPr>
          <w:rFonts w:ascii="Verdana" w:hAnsi="Verdana"/>
          <w:i/>
          <w:sz w:val="16"/>
          <w:szCs w:val="16"/>
        </w:rPr>
      </w:pPr>
      <w:r w:rsidRPr="00E725B3">
        <w:rPr>
          <w:rStyle w:val="Refdenotaalpie"/>
          <w:rFonts w:ascii="Verdana" w:hAnsi="Verdana"/>
          <w:sz w:val="16"/>
          <w:szCs w:val="16"/>
        </w:rPr>
        <w:footnoteRef/>
      </w:r>
      <w:r w:rsidRPr="00E725B3">
        <w:rPr>
          <w:rFonts w:ascii="Verdana" w:hAnsi="Verdana"/>
          <w:sz w:val="16"/>
          <w:szCs w:val="16"/>
        </w:rPr>
        <w:t xml:space="preserve"> </w:t>
      </w:r>
      <w:proofErr w:type="spellStart"/>
      <w:r w:rsidRPr="00E725B3">
        <w:rPr>
          <w:rFonts w:ascii="Verdana" w:hAnsi="Verdana"/>
          <w:i/>
          <w:sz w:val="16"/>
          <w:szCs w:val="16"/>
        </w:rPr>
        <w:t>Idem</w:t>
      </w:r>
      <w:proofErr w:type="spellEnd"/>
      <w:r w:rsidRPr="00E725B3">
        <w:rPr>
          <w:rFonts w:ascii="Verdana" w:hAnsi="Verdana"/>
          <w:i/>
          <w:sz w:val="16"/>
          <w:szCs w:val="16"/>
        </w:rPr>
        <w:t>.</w:t>
      </w:r>
    </w:p>
  </w:footnote>
  <w:footnote w:id="35">
    <w:p w14:paraId="2888BF98" w14:textId="0C1667E4"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002E1045" w:rsidRPr="00E725B3">
        <w:rPr>
          <w:rFonts w:ascii="Verdana" w:hAnsi="Verdana"/>
          <w:sz w:val="16"/>
          <w:szCs w:val="16"/>
        </w:rPr>
        <w:t xml:space="preserve"> Párr</w:t>
      </w:r>
      <w:r w:rsidR="00AB5241">
        <w:rPr>
          <w:rFonts w:ascii="Verdana" w:hAnsi="Verdana"/>
          <w:sz w:val="16"/>
          <w:szCs w:val="16"/>
        </w:rPr>
        <w:t>s</w:t>
      </w:r>
      <w:r w:rsidR="002E1045" w:rsidRPr="00E725B3">
        <w:rPr>
          <w:rFonts w:ascii="Verdana" w:hAnsi="Verdana"/>
          <w:sz w:val="16"/>
          <w:szCs w:val="16"/>
        </w:rPr>
        <w:t>.</w:t>
      </w:r>
      <w:r w:rsidR="00AB5241">
        <w:rPr>
          <w:rFonts w:ascii="Verdana" w:hAnsi="Verdana"/>
          <w:sz w:val="16"/>
          <w:szCs w:val="16"/>
        </w:rPr>
        <w:t xml:space="preserve"> </w:t>
      </w:r>
      <w:r w:rsidR="002E1045" w:rsidRPr="00E725B3">
        <w:rPr>
          <w:rFonts w:ascii="Verdana" w:hAnsi="Verdana"/>
          <w:sz w:val="16"/>
          <w:szCs w:val="16"/>
        </w:rPr>
        <w:t>33</w:t>
      </w:r>
      <w:r w:rsidR="004430B3">
        <w:rPr>
          <w:rFonts w:ascii="Verdana" w:hAnsi="Verdana"/>
          <w:sz w:val="16"/>
          <w:szCs w:val="16"/>
        </w:rPr>
        <w:t xml:space="preserve"> y 40.</w:t>
      </w:r>
    </w:p>
  </w:footnote>
  <w:footnote w:id="36">
    <w:p w14:paraId="212AF7C6" w14:textId="51DA39D1"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w:t>
      </w:r>
      <w:r w:rsidR="00AB5241">
        <w:rPr>
          <w:rFonts w:ascii="Verdana" w:hAnsi="Verdana"/>
          <w:sz w:val="16"/>
          <w:szCs w:val="16"/>
        </w:rPr>
        <w:t xml:space="preserve"> </w:t>
      </w:r>
      <w:r w:rsidRPr="00E725B3">
        <w:rPr>
          <w:rFonts w:ascii="Verdana" w:hAnsi="Verdana"/>
          <w:sz w:val="16"/>
          <w:szCs w:val="16"/>
        </w:rPr>
        <w:t>18</w:t>
      </w:r>
      <w:r w:rsidR="00AB5241">
        <w:rPr>
          <w:rFonts w:ascii="Verdana" w:hAnsi="Verdana"/>
          <w:sz w:val="16"/>
          <w:szCs w:val="16"/>
        </w:rPr>
        <w:t>.</w:t>
      </w:r>
    </w:p>
  </w:footnote>
  <w:footnote w:id="37">
    <w:p w14:paraId="08701A56" w14:textId="77777777"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Diccionario de la lengua española, Real Academia Española 2018.</w:t>
      </w:r>
    </w:p>
  </w:footnote>
  <w:footnote w:id="38">
    <w:p w14:paraId="4FAEF995" w14:textId="4935EB93"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Párrs</w:t>
      </w:r>
      <w:r w:rsidR="009B1F02">
        <w:rPr>
          <w:rFonts w:ascii="Verdana" w:hAnsi="Verdana"/>
          <w:sz w:val="16"/>
          <w:szCs w:val="16"/>
        </w:rPr>
        <w:t>.</w:t>
      </w:r>
      <w:r w:rsidRPr="00E725B3">
        <w:rPr>
          <w:rFonts w:ascii="Verdana" w:hAnsi="Verdana"/>
          <w:sz w:val="16"/>
          <w:szCs w:val="16"/>
        </w:rPr>
        <w:t xml:space="preserve"> 18 y 39</w:t>
      </w:r>
      <w:r w:rsidR="00AB5241">
        <w:rPr>
          <w:rFonts w:ascii="Verdana" w:hAnsi="Verdana"/>
          <w:sz w:val="16"/>
          <w:szCs w:val="16"/>
        </w:rPr>
        <w:t xml:space="preserve"> de la Resolución del Presidente de 28 de mayo de 2019. </w:t>
      </w:r>
    </w:p>
  </w:footnote>
  <w:footnote w:id="39">
    <w:p w14:paraId="356AAF6E" w14:textId="1F644E03"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w:t>
      </w:r>
      <w:r w:rsidR="009B1F02">
        <w:rPr>
          <w:rFonts w:ascii="Verdana" w:hAnsi="Verdana"/>
          <w:sz w:val="16"/>
          <w:szCs w:val="16"/>
        </w:rPr>
        <w:t xml:space="preserve"> </w:t>
      </w:r>
      <w:r w:rsidRPr="00E725B3">
        <w:rPr>
          <w:rFonts w:ascii="Verdana" w:hAnsi="Verdana"/>
          <w:sz w:val="16"/>
          <w:szCs w:val="16"/>
        </w:rPr>
        <w:t>41</w:t>
      </w:r>
      <w:r w:rsidR="009B1F02">
        <w:rPr>
          <w:rFonts w:ascii="Verdana" w:hAnsi="Verdana"/>
          <w:sz w:val="16"/>
          <w:szCs w:val="16"/>
        </w:rPr>
        <w:t>.</w:t>
      </w:r>
    </w:p>
  </w:footnote>
  <w:footnote w:id="40">
    <w:p w14:paraId="58D8DE3C" w14:textId="77777777" w:rsidR="00F66A1E" w:rsidRPr="00E725B3" w:rsidRDefault="00F66A1E" w:rsidP="00E725B3">
      <w:pPr>
        <w:pStyle w:val="Textonotapie"/>
        <w:ind w:left="0"/>
        <w:rPr>
          <w:rFonts w:ascii="Verdana" w:hAnsi="Verdana"/>
          <w:sz w:val="16"/>
          <w:szCs w:val="16"/>
        </w:rPr>
      </w:pPr>
      <w:r w:rsidRPr="00E725B3">
        <w:rPr>
          <w:rStyle w:val="Refdenotaalpie"/>
          <w:rFonts w:ascii="Verdana" w:hAnsi="Verdana"/>
          <w:sz w:val="16"/>
          <w:szCs w:val="16"/>
        </w:rPr>
        <w:footnoteRef/>
      </w:r>
      <w:r w:rsidR="00E32CDC" w:rsidRPr="00E725B3">
        <w:rPr>
          <w:rFonts w:ascii="Verdana" w:hAnsi="Verdana"/>
          <w:sz w:val="16"/>
          <w:szCs w:val="16"/>
        </w:rPr>
        <w:t xml:space="preserve"> Nota </w:t>
      </w:r>
      <w:r w:rsidRPr="00E725B3">
        <w:rPr>
          <w:rFonts w:ascii="Verdana" w:hAnsi="Verdana"/>
          <w:sz w:val="16"/>
          <w:szCs w:val="16"/>
        </w:rPr>
        <w:t>N° 3</w:t>
      </w:r>
    </w:p>
  </w:footnote>
  <w:footnote w:id="41">
    <w:p w14:paraId="12D28462" w14:textId="66118ACD" w:rsidR="00F66A1E" w:rsidRPr="00E725B3" w:rsidRDefault="00F66A1E" w:rsidP="00E725B3">
      <w:pPr>
        <w:pStyle w:val="Textonotapie"/>
        <w:ind w:left="0"/>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w:t>
      </w:r>
      <w:r w:rsidR="009B1F02">
        <w:rPr>
          <w:rFonts w:ascii="Verdana" w:hAnsi="Verdana"/>
          <w:sz w:val="16"/>
          <w:szCs w:val="16"/>
        </w:rPr>
        <w:t xml:space="preserve"> </w:t>
      </w:r>
      <w:r w:rsidRPr="00E725B3">
        <w:rPr>
          <w:rFonts w:ascii="Verdana" w:hAnsi="Verdana"/>
          <w:sz w:val="16"/>
          <w:szCs w:val="16"/>
        </w:rPr>
        <w:t>14.</w:t>
      </w:r>
    </w:p>
  </w:footnote>
  <w:footnote w:id="42">
    <w:p w14:paraId="312D5C40" w14:textId="77777777" w:rsidR="00F66A1E" w:rsidRPr="00E725B3" w:rsidRDefault="00F66A1E" w:rsidP="00E725B3">
      <w:pPr>
        <w:spacing w:line="240" w:lineRule="auto"/>
        <w:ind w:left="0"/>
        <w:rPr>
          <w:rFonts w:ascii="Verdana" w:hAnsi="Verdana"/>
          <w:i/>
          <w:sz w:val="16"/>
          <w:szCs w:val="16"/>
          <w:lang w:val="es-ES"/>
        </w:rPr>
      </w:pPr>
      <w:r w:rsidRPr="00E725B3">
        <w:rPr>
          <w:rStyle w:val="Refdenotaalpie"/>
          <w:rFonts w:ascii="Verdana" w:hAnsi="Verdana"/>
          <w:sz w:val="16"/>
          <w:szCs w:val="16"/>
        </w:rPr>
        <w:footnoteRef/>
      </w:r>
      <w:r w:rsidRPr="00E725B3">
        <w:rPr>
          <w:rFonts w:ascii="Verdana" w:hAnsi="Verdana"/>
          <w:sz w:val="16"/>
          <w:szCs w:val="16"/>
        </w:rPr>
        <w:t xml:space="preserve"> </w:t>
      </w:r>
      <w:r w:rsidR="00E32CDC" w:rsidRPr="00E725B3">
        <w:rPr>
          <w:rFonts w:ascii="Verdana" w:hAnsi="Verdana"/>
          <w:sz w:val="16"/>
          <w:szCs w:val="16"/>
        </w:rPr>
        <w:t>Pr</w:t>
      </w:r>
      <w:r w:rsidR="00CA22AD" w:rsidRPr="00E725B3">
        <w:rPr>
          <w:rFonts w:ascii="Verdana" w:hAnsi="Verdana"/>
          <w:sz w:val="16"/>
          <w:szCs w:val="16"/>
        </w:rPr>
        <w:t>eámbulo de la Convención, párr.</w:t>
      </w:r>
      <w:r w:rsidR="00E32CDC" w:rsidRPr="00E725B3">
        <w:rPr>
          <w:rFonts w:ascii="Verdana" w:hAnsi="Verdana"/>
          <w:sz w:val="16"/>
          <w:szCs w:val="16"/>
        </w:rPr>
        <w:t>3: “</w:t>
      </w:r>
      <w:r w:rsidR="00E32CDC" w:rsidRPr="00E725B3">
        <w:rPr>
          <w:rFonts w:ascii="Verdana" w:hAnsi="Verdana"/>
          <w:i/>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footnote>
  <w:footnote w:id="43">
    <w:p w14:paraId="3438C304" w14:textId="3FC8DD50" w:rsidR="00E32A56" w:rsidRPr="00435CF8" w:rsidRDefault="00E32A56" w:rsidP="00E725B3">
      <w:pPr>
        <w:pStyle w:val="Textonotapie"/>
        <w:ind w:left="0"/>
        <w:rPr>
          <w:rFonts w:ascii="Verdana" w:hAnsi="Verdana"/>
          <w:sz w:val="16"/>
          <w:szCs w:val="16"/>
          <w:lang w:val="en-US"/>
        </w:rPr>
      </w:pPr>
      <w:r w:rsidRPr="00E725B3">
        <w:rPr>
          <w:rStyle w:val="Refdenotaalpie"/>
          <w:rFonts w:ascii="Verdana" w:hAnsi="Verdana"/>
          <w:sz w:val="16"/>
          <w:szCs w:val="16"/>
        </w:rPr>
        <w:footnoteRef/>
      </w:r>
      <w:r w:rsidR="004E3FA7" w:rsidRPr="00435CF8">
        <w:rPr>
          <w:rFonts w:ascii="Verdana" w:hAnsi="Verdana"/>
          <w:sz w:val="16"/>
          <w:szCs w:val="16"/>
          <w:lang w:val="en-US"/>
        </w:rPr>
        <w:t xml:space="preserve"> Notas </w:t>
      </w:r>
      <w:r w:rsidRPr="00435CF8">
        <w:rPr>
          <w:rFonts w:ascii="Verdana" w:hAnsi="Verdana"/>
          <w:sz w:val="16"/>
          <w:szCs w:val="16"/>
          <w:lang w:val="en-US"/>
        </w:rPr>
        <w:t>N°s</w:t>
      </w:r>
      <w:r w:rsidR="009B1F02" w:rsidRPr="00435CF8">
        <w:rPr>
          <w:rFonts w:ascii="Verdana" w:hAnsi="Verdana"/>
          <w:sz w:val="16"/>
          <w:szCs w:val="16"/>
          <w:lang w:val="en-US"/>
        </w:rPr>
        <w:t xml:space="preserve"> 11 y 13</w:t>
      </w:r>
      <w:r w:rsidRPr="00435CF8">
        <w:rPr>
          <w:rFonts w:ascii="Verdana" w:hAnsi="Verdana"/>
          <w:sz w:val="16"/>
          <w:szCs w:val="16"/>
          <w:lang w:val="en-US"/>
        </w:rPr>
        <w:t>.</w:t>
      </w:r>
    </w:p>
  </w:footnote>
  <w:footnote w:id="44">
    <w:p w14:paraId="009E3A09" w14:textId="2487879F" w:rsidR="00A31B41" w:rsidRPr="00435CF8" w:rsidRDefault="00A31B41" w:rsidP="00E725B3">
      <w:pPr>
        <w:pStyle w:val="Textonotapie"/>
        <w:ind w:left="0"/>
        <w:rPr>
          <w:rFonts w:ascii="Verdana" w:hAnsi="Verdana"/>
          <w:sz w:val="16"/>
          <w:szCs w:val="16"/>
          <w:lang w:val="en-US"/>
        </w:rPr>
      </w:pPr>
      <w:r w:rsidRPr="00E725B3">
        <w:rPr>
          <w:rStyle w:val="Refdenotaalpie"/>
          <w:rFonts w:ascii="Verdana" w:hAnsi="Verdana"/>
          <w:sz w:val="16"/>
          <w:szCs w:val="16"/>
        </w:rPr>
        <w:footnoteRef/>
      </w:r>
      <w:r w:rsidRPr="00435CF8">
        <w:rPr>
          <w:rFonts w:ascii="Verdana" w:hAnsi="Verdana"/>
          <w:sz w:val="16"/>
          <w:szCs w:val="16"/>
          <w:lang w:val="en-US"/>
        </w:rPr>
        <w:t xml:space="preserve"> Art.</w:t>
      </w:r>
      <w:r w:rsidR="008A5FC0" w:rsidRPr="00435CF8">
        <w:rPr>
          <w:rFonts w:ascii="Verdana" w:hAnsi="Verdana"/>
          <w:sz w:val="16"/>
          <w:szCs w:val="16"/>
          <w:lang w:val="en-US"/>
        </w:rPr>
        <w:t xml:space="preserve"> </w:t>
      </w:r>
      <w:r w:rsidRPr="00435CF8">
        <w:rPr>
          <w:rFonts w:ascii="Verdana" w:hAnsi="Verdana"/>
          <w:sz w:val="16"/>
          <w:szCs w:val="16"/>
          <w:lang w:val="en-US"/>
        </w:rPr>
        <w:t>41.b.</w:t>
      </w:r>
    </w:p>
  </w:footnote>
  <w:footnote w:id="45">
    <w:p w14:paraId="51252CFB" w14:textId="5BB93056" w:rsidR="00E32A56" w:rsidRPr="00E725B3" w:rsidRDefault="00E32A56" w:rsidP="00E725B3">
      <w:pPr>
        <w:pStyle w:val="Textonotapie"/>
        <w:ind w:left="0"/>
        <w:rPr>
          <w:rFonts w:ascii="Verdana" w:hAnsi="Verdana"/>
          <w:sz w:val="16"/>
          <w:szCs w:val="16"/>
        </w:rPr>
      </w:pPr>
      <w:r w:rsidRPr="00E725B3">
        <w:rPr>
          <w:rStyle w:val="Refdenotaalpie"/>
          <w:rFonts w:ascii="Verdana" w:hAnsi="Verdana"/>
          <w:sz w:val="16"/>
          <w:szCs w:val="16"/>
        </w:rPr>
        <w:footnoteRef/>
      </w:r>
      <w:r w:rsidR="004E3FA7" w:rsidRPr="00E725B3">
        <w:rPr>
          <w:rFonts w:ascii="Verdana" w:hAnsi="Verdana"/>
          <w:sz w:val="16"/>
          <w:szCs w:val="16"/>
        </w:rPr>
        <w:t xml:space="preserve"> Nota </w:t>
      </w:r>
      <w:r w:rsidRPr="00E725B3">
        <w:rPr>
          <w:rFonts w:ascii="Verdana" w:hAnsi="Verdana"/>
          <w:sz w:val="16"/>
          <w:szCs w:val="16"/>
        </w:rPr>
        <w:t>N° 7</w:t>
      </w:r>
      <w:r w:rsidR="009B1F02">
        <w:rPr>
          <w:rFonts w:ascii="Verdana" w:hAnsi="Verdana"/>
          <w:sz w:val="16"/>
          <w:szCs w:val="16"/>
        </w:rPr>
        <w:t>.</w:t>
      </w:r>
    </w:p>
  </w:footnote>
  <w:footnote w:id="46">
    <w:p w14:paraId="1A3B7E7E" w14:textId="77777777" w:rsidR="003E1B12" w:rsidRPr="00E725B3" w:rsidRDefault="003E1B12" w:rsidP="00E725B3">
      <w:pPr>
        <w:pStyle w:val="Textonotapie"/>
        <w:ind w:left="57"/>
        <w:rPr>
          <w:rFonts w:ascii="Verdana" w:hAnsi="Verdana"/>
          <w:sz w:val="16"/>
          <w:szCs w:val="16"/>
        </w:rPr>
      </w:pPr>
      <w:r w:rsidRPr="00E725B3">
        <w:rPr>
          <w:rStyle w:val="Refdenotaalpie"/>
          <w:rFonts w:ascii="Verdana" w:hAnsi="Verdana"/>
          <w:sz w:val="16"/>
          <w:szCs w:val="16"/>
        </w:rPr>
        <w:footnoteRef/>
      </w:r>
      <w:r w:rsidRPr="00E725B3">
        <w:rPr>
          <w:rFonts w:ascii="Verdana" w:hAnsi="Verdana"/>
          <w:sz w:val="16"/>
          <w:szCs w:val="16"/>
        </w:rPr>
        <w:t xml:space="preserve"> Párr.38.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BA7"/>
    <w:multiLevelType w:val="hybridMultilevel"/>
    <w:tmpl w:val="5164BDDE"/>
    <w:lvl w:ilvl="0" w:tplc="340A0019">
      <w:start w:val="1"/>
      <w:numFmt w:val="lowerLetter"/>
      <w:lvlText w:val="%1."/>
      <w:lvlJc w:val="left"/>
      <w:pPr>
        <w:ind w:left="720" w:hanging="360"/>
      </w:pPr>
      <w:rPr>
        <w:rFonts w:eastAsia="Times New Roman"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D11861"/>
    <w:multiLevelType w:val="hybridMultilevel"/>
    <w:tmpl w:val="94FC2B86"/>
    <w:lvl w:ilvl="0" w:tplc="199279FA">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831555"/>
    <w:multiLevelType w:val="hybridMultilevel"/>
    <w:tmpl w:val="622CA954"/>
    <w:lvl w:ilvl="0" w:tplc="4490DA6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457683"/>
    <w:multiLevelType w:val="hybridMultilevel"/>
    <w:tmpl w:val="5A4C6E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37006BA"/>
    <w:multiLevelType w:val="hybridMultilevel"/>
    <w:tmpl w:val="2318D87A"/>
    <w:lvl w:ilvl="0" w:tplc="4490DA6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A43112"/>
    <w:multiLevelType w:val="hybridMultilevel"/>
    <w:tmpl w:val="DAC2F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5987C38"/>
    <w:multiLevelType w:val="hybridMultilevel"/>
    <w:tmpl w:val="B874AD26"/>
    <w:lvl w:ilvl="0" w:tplc="F860FE1C">
      <w:start w:val="1"/>
      <w:numFmt w:val="upperLetter"/>
      <w:lvlText w:val="%1."/>
      <w:lvlJc w:val="left"/>
      <w:pPr>
        <w:ind w:left="20" w:hanging="360"/>
      </w:pPr>
      <w:rPr>
        <w:rFonts w:eastAsia="Calibri" w:cs="Arial" w:hint="default"/>
        <w:b/>
      </w:rPr>
    </w:lvl>
    <w:lvl w:ilvl="1" w:tplc="340A0019" w:tentative="1">
      <w:start w:val="1"/>
      <w:numFmt w:val="lowerLetter"/>
      <w:lvlText w:val="%2."/>
      <w:lvlJc w:val="left"/>
      <w:pPr>
        <w:ind w:left="740" w:hanging="360"/>
      </w:pPr>
    </w:lvl>
    <w:lvl w:ilvl="2" w:tplc="340A001B" w:tentative="1">
      <w:start w:val="1"/>
      <w:numFmt w:val="lowerRoman"/>
      <w:lvlText w:val="%3."/>
      <w:lvlJc w:val="right"/>
      <w:pPr>
        <w:ind w:left="1460" w:hanging="180"/>
      </w:pPr>
    </w:lvl>
    <w:lvl w:ilvl="3" w:tplc="340A000F" w:tentative="1">
      <w:start w:val="1"/>
      <w:numFmt w:val="decimal"/>
      <w:lvlText w:val="%4."/>
      <w:lvlJc w:val="left"/>
      <w:pPr>
        <w:ind w:left="2180" w:hanging="360"/>
      </w:pPr>
    </w:lvl>
    <w:lvl w:ilvl="4" w:tplc="340A0019" w:tentative="1">
      <w:start w:val="1"/>
      <w:numFmt w:val="lowerLetter"/>
      <w:lvlText w:val="%5."/>
      <w:lvlJc w:val="left"/>
      <w:pPr>
        <w:ind w:left="2900" w:hanging="360"/>
      </w:pPr>
    </w:lvl>
    <w:lvl w:ilvl="5" w:tplc="340A001B" w:tentative="1">
      <w:start w:val="1"/>
      <w:numFmt w:val="lowerRoman"/>
      <w:lvlText w:val="%6."/>
      <w:lvlJc w:val="right"/>
      <w:pPr>
        <w:ind w:left="3620" w:hanging="180"/>
      </w:pPr>
    </w:lvl>
    <w:lvl w:ilvl="6" w:tplc="340A000F" w:tentative="1">
      <w:start w:val="1"/>
      <w:numFmt w:val="decimal"/>
      <w:lvlText w:val="%7."/>
      <w:lvlJc w:val="left"/>
      <w:pPr>
        <w:ind w:left="4340" w:hanging="360"/>
      </w:pPr>
    </w:lvl>
    <w:lvl w:ilvl="7" w:tplc="340A0019" w:tentative="1">
      <w:start w:val="1"/>
      <w:numFmt w:val="lowerLetter"/>
      <w:lvlText w:val="%8."/>
      <w:lvlJc w:val="left"/>
      <w:pPr>
        <w:ind w:left="5060" w:hanging="360"/>
      </w:pPr>
    </w:lvl>
    <w:lvl w:ilvl="8" w:tplc="340A001B" w:tentative="1">
      <w:start w:val="1"/>
      <w:numFmt w:val="lowerRoman"/>
      <w:lvlText w:val="%9."/>
      <w:lvlJc w:val="right"/>
      <w:pPr>
        <w:ind w:left="5780" w:hanging="180"/>
      </w:pPr>
    </w:lvl>
  </w:abstractNum>
  <w:abstractNum w:abstractNumId="7" w15:restartNumberingAfterBreak="0">
    <w:nsid w:val="57DA0AE4"/>
    <w:multiLevelType w:val="hybridMultilevel"/>
    <w:tmpl w:val="ABAC9B2C"/>
    <w:lvl w:ilvl="0" w:tplc="A9780FD2">
      <w:start w:val="1"/>
      <w:numFmt w:val="upperRoman"/>
      <w:lvlText w:val="%1."/>
      <w:lvlJc w:val="left"/>
      <w:pPr>
        <w:ind w:left="363" w:hanging="720"/>
      </w:pPr>
      <w:rPr>
        <w:rFonts w:eastAsia="Calibri" w:cs="Arial" w:hint="default"/>
        <w:b/>
      </w:rPr>
    </w:lvl>
    <w:lvl w:ilvl="1" w:tplc="340A0019" w:tentative="1">
      <w:start w:val="1"/>
      <w:numFmt w:val="lowerLetter"/>
      <w:lvlText w:val="%2."/>
      <w:lvlJc w:val="left"/>
      <w:pPr>
        <w:ind w:left="723" w:hanging="360"/>
      </w:pPr>
    </w:lvl>
    <w:lvl w:ilvl="2" w:tplc="340A001B" w:tentative="1">
      <w:start w:val="1"/>
      <w:numFmt w:val="lowerRoman"/>
      <w:lvlText w:val="%3."/>
      <w:lvlJc w:val="right"/>
      <w:pPr>
        <w:ind w:left="1443" w:hanging="180"/>
      </w:pPr>
    </w:lvl>
    <w:lvl w:ilvl="3" w:tplc="340A000F" w:tentative="1">
      <w:start w:val="1"/>
      <w:numFmt w:val="decimal"/>
      <w:lvlText w:val="%4."/>
      <w:lvlJc w:val="left"/>
      <w:pPr>
        <w:ind w:left="2163" w:hanging="360"/>
      </w:pPr>
    </w:lvl>
    <w:lvl w:ilvl="4" w:tplc="340A0019" w:tentative="1">
      <w:start w:val="1"/>
      <w:numFmt w:val="lowerLetter"/>
      <w:lvlText w:val="%5."/>
      <w:lvlJc w:val="left"/>
      <w:pPr>
        <w:ind w:left="2883" w:hanging="360"/>
      </w:pPr>
    </w:lvl>
    <w:lvl w:ilvl="5" w:tplc="340A001B" w:tentative="1">
      <w:start w:val="1"/>
      <w:numFmt w:val="lowerRoman"/>
      <w:lvlText w:val="%6."/>
      <w:lvlJc w:val="right"/>
      <w:pPr>
        <w:ind w:left="3603" w:hanging="180"/>
      </w:pPr>
    </w:lvl>
    <w:lvl w:ilvl="6" w:tplc="340A000F" w:tentative="1">
      <w:start w:val="1"/>
      <w:numFmt w:val="decimal"/>
      <w:lvlText w:val="%7."/>
      <w:lvlJc w:val="left"/>
      <w:pPr>
        <w:ind w:left="4323" w:hanging="360"/>
      </w:pPr>
    </w:lvl>
    <w:lvl w:ilvl="7" w:tplc="340A0019" w:tentative="1">
      <w:start w:val="1"/>
      <w:numFmt w:val="lowerLetter"/>
      <w:lvlText w:val="%8."/>
      <w:lvlJc w:val="left"/>
      <w:pPr>
        <w:ind w:left="5043" w:hanging="360"/>
      </w:pPr>
    </w:lvl>
    <w:lvl w:ilvl="8" w:tplc="340A001B" w:tentative="1">
      <w:start w:val="1"/>
      <w:numFmt w:val="lowerRoman"/>
      <w:lvlText w:val="%9."/>
      <w:lvlJc w:val="right"/>
      <w:pPr>
        <w:ind w:left="5763" w:hanging="180"/>
      </w:pPr>
    </w:lvl>
  </w:abstractNum>
  <w:abstractNum w:abstractNumId="8" w15:restartNumberingAfterBreak="0">
    <w:nsid w:val="63F322DE"/>
    <w:multiLevelType w:val="hybridMultilevel"/>
    <w:tmpl w:val="0598DF4A"/>
    <w:lvl w:ilvl="0" w:tplc="571E7A1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5C863E2"/>
    <w:multiLevelType w:val="hybridMultilevel"/>
    <w:tmpl w:val="9C2006FC"/>
    <w:lvl w:ilvl="0" w:tplc="17706D5A">
      <w:start w:val="2"/>
      <w:numFmt w:val="decimal"/>
      <w:lvlText w:val="%1."/>
      <w:lvlJc w:val="left"/>
      <w:pPr>
        <w:tabs>
          <w:tab w:val="num" w:pos="1152"/>
        </w:tabs>
        <w:ind w:left="360" w:firstLine="0"/>
      </w:pPr>
      <w:rPr>
        <w:rFonts w:ascii="Verdana" w:hAnsi="Verdana"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C56833"/>
    <w:multiLevelType w:val="hybridMultilevel"/>
    <w:tmpl w:val="5F884670"/>
    <w:lvl w:ilvl="0" w:tplc="49FCBF2A">
      <w:start w:val="1"/>
      <w:numFmt w:val="decimal"/>
      <w:lvlText w:val="%1."/>
      <w:lvlJc w:val="left"/>
      <w:pPr>
        <w:ind w:left="20" w:hanging="360"/>
      </w:pPr>
      <w:rPr>
        <w:rFonts w:eastAsia="Calibri" w:cs="Arial" w:hint="default"/>
      </w:rPr>
    </w:lvl>
    <w:lvl w:ilvl="1" w:tplc="340A0019" w:tentative="1">
      <w:start w:val="1"/>
      <w:numFmt w:val="lowerLetter"/>
      <w:lvlText w:val="%2."/>
      <w:lvlJc w:val="left"/>
      <w:pPr>
        <w:ind w:left="740" w:hanging="360"/>
      </w:pPr>
    </w:lvl>
    <w:lvl w:ilvl="2" w:tplc="340A001B" w:tentative="1">
      <w:start w:val="1"/>
      <w:numFmt w:val="lowerRoman"/>
      <w:lvlText w:val="%3."/>
      <w:lvlJc w:val="right"/>
      <w:pPr>
        <w:ind w:left="1460" w:hanging="180"/>
      </w:pPr>
    </w:lvl>
    <w:lvl w:ilvl="3" w:tplc="340A000F" w:tentative="1">
      <w:start w:val="1"/>
      <w:numFmt w:val="decimal"/>
      <w:lvlText w:val="%4."/>
      <w:lvlJc w:val="left"/>
      <w:pPr>
        <w:ind w:left="2180" w:hanging="360"/>
      </w:pPr>
    </w:lvl>
    <w:lvl w:ilvl="4" w:tplc="340A0019" w:tentative="1">
      <w:start w:val="1"/>
      <w:numFmt w:val="lowerLetter"/>
      <w:lvlText w:val="%5."/>
      <w:lvlJc w:val="left"/>
      <w:pPr>
        <w:ind w:left="2900" w:hanging="360"/>
      </w:pPr>
    </w:lvl>
    <w:lvl w:ilvl="5" w:tplc="340A001B" w:tentative="1">
      <w:start w:val="1"/>
      <w:numFmt w:val="lowerRoman"/>
      <w:lvlText w:val="%6."/>
      <w:lvlJc w:val="right"/>
      <w:pPr>
        <w:ind w:left="3620" w:hanging="180"/>
      </w:pPr>
    </w:lvl>
    <w:lvl w:ilvl="6" w:tplc="340A000F" w:tentative="1">
      <w:start w:val="1"/>
      <w:numFmt w:val="decimal"/>
      <w:lvlText w:val="%7."/>
      <w:lvlJc w:val="left"/>
      <w:pPr>
        <w:ind w:left="4340" w:hanging="360"/>
      </w:pPr>
    </w:lvl>
    <w:lvl w:ilvl="7" w:tplc="340A0019" w:tentative="1">
      <w:start w:val="1"/>
      <w:numFmt w:val="lowerLetter"/>
      <w:lvlText w:val="%8."/>
      <w:lvlJc w:val="left"/>
      <w:pPr>
        <w:ind w:left="5060" w:hanging="360"/>
      </w:pPr>
    </w:lvl>
    <w:lvl w:ilvl="8" w:tplc="340A001B" w:tentative="1">
      <w:start w:val="1"/>
      <w:numFmt w:val="lowerRoman"/>
      <w:lvlText w:val="%9."/>
      <w:lvlJc w:val="right"/>
      <w:pPr>
        <w:ind w:left="5780" w:hanging="180"/>
      </w:pPr>
    </w:lvl>
  </w:abstractNum>
  <w:abstractNum w:abstractNumId="11" w15:restartNumberingAfterBreak="0">
    <w:nsid w:val="6AE36050"/>
    <w:multiLevelType w:val="hybridMultilevel"/>
    <w:tmpl w:val="F4889BD4"/>
    <w:lvl w:ilvl="0" w:tplc="C38EB18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8F365A"/>
    <w:multiLevelType w:val="hybridMultilevel"/>
    <w:tmpl w:val="C03EA0F6"/>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A902B73"/>
    <w:multiLevelType w:val="hybridMultilevel"/>
    <w:tmpl w:val="1860A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C121A9D"/>
    <w:multiLevelType w:val="hybridMultilevel"/>
    <w:tmpl w:val="1F08C4D8"/>
    <w:lvl w:ilvl="0" w:tplc="1F5EA9CE">
      <w:start w:val="1"/>
      <w:numFmt w:val="decimal"/>
      <w:lvlText w:val="%1."/>
      <w:lvlJc w:val="left"/>
      <w:pPr>
        <w:ind w:left="360" w:hanging="360"/>
      </w:pPr>
      <w:rPr>
        <w:rFonts w:ascii="Verdana" w:hAnsi="Verdana" w:hint="default"/>
        <w:b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0"/>
  </w:num>
  <w:num w:numId="5">
    <w:abstractNumId w:val="11"/>
  </w:num>
  <w:num w:numId="6">
    <w:abstractNumId w:val="14"/>
  </w:num>
  <w:num w:numId="7">
    <w:abstractNumId w:val="12"/>
  </w:num>
  <w:num w:numId="8">
    <w:abstractNumId w:val="0"/>
  </w:num>
  <w:num w:numId="9">
    <w:abstractNumId w:val="9"/>
  </w:num>
  <w:num w:numId="10">
    <w:abstractNumId w:val="8"/>
  </w:num>
  <w:num w:numId="11">
    <w:abstractNumId w:val="1"/>
  </w:num>
  <w:num w:numId="12">
    <w:abstractNumId w:val="2"/>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4C"/>
    <w:rsid w:val="00013485"/>
    <w:rsid w:val="00017DB6"/>
    <w:rsid w:val="00036680"/>
    <w:rsid w:val="000374C7"/>
    <w:rsid w:val="000413AF"/>
    <w:rsid w:val="000465B8"/>
    <w:rsid w:val="00053BE1"/>
    <w:rsid w:val="000559D1"/>
    <w:rsid w:val="0005647D"/>
    <w:rsid w:val="00072095"/>
    <w:rsid w:val="000735AA"/>
    <w:rsid w:val="00091108"/>
    <w:rsid w:val="00095C82"/>
    <w:rsid w:val="00096752"/>
    <w:rsid w:val="000B0B84"/>
    <w:rsid w:val="000B54EA"/>
    <w:rsid w:val="000B7C79"/>
    <w:rsid w:val="000C268E"/>
    <w:rsid w:val="000D75A7"/>
    <w:rsid w:val="001019D9"/>
    <w:rsid w:val="00117F1E"/>
    <w:rsid w:val="00123874"/>
    <w:rsid w:val="001419F5"/>
    <w:rsid w:val="00153F7B"/>
    <w:rsid w:val="00161C16"/>
    <w:rsid w:val="0017144F"/>
    <w:rsid w:val="001747E1"/>
    <w:rsid w:val="0018058B"/>
    <w:rsid w:val="001908AA"/>
    <w:rsid w:val="001908D2"/>
    <w:rsid w:val="001944DD"/>
    <w:rsid w:val="001A2A03"/>
    <w:rsid w:val="001C75D7"/>
    <w:rsid w:val="001D395F"/>
    <w:rsid w:val="002000EC"/>
    <w:rsid w:val="0020456A"/>
    <w:rsid w:val="00217C07"/>
    <w:rsid w:val="00217E76"/>
    <w:rsid w:val="00256442"/>
    <w:rsid w:val="00270319"/>
    <w:rsid w:val="00287756"/>
    <w:rsid w:val="0029460A"/>
    <w:rsid w:val="0029471C"/>
    <w:rsid w:val="00297A89"/>
    <w:rsid w:val="002A6C44"/>
    <w:rsid w:val="002B47FE"/>
    <w:rsid w:val="002B599D"/>
    <w:rsid w:val="002C5173"/>
    <w:rsid w:val="002C5CED"/>
    <w:rsid w:val="002C6A2F"/>
    <w:rsid w:val="002E1045"/>
    <w:rsid w:val="002E546F"/>
    <w:rsid w:val="00306243"/>
    <w:rsid w:val="003577BE"/>
    <w:rsid w:val="0036696F"/>
    <w:rsid w:val="003761A5"/>
    <w:rsid w:val="00383F2C"/>
    <w:rsid w:val="00384B5B"/>
    <w:rsid w:val="00394F0A"/>
    <w:rsid w:val="003A22A2"/>
    <w:rsid w:val="003B5584"/>
    <w:rsid w:val="003D42B9"/>
    <w:rsid w:val="003E1B12"/>
    <w:rsid w:val="003F5A78"/>
    <w:rsid w:val="0041275A"/>
    <w:rsid w:val="00412C3A"/>
    <w:rsid w:val="004148A7"/>
    <w:rsid w:val="0042796F"/>
    <w:rsid w:val="00433991"/>
    <w:rsid w:val="00435CF8"/>
    <w:rsid w:val="004430B3"/>
    <w:rsid w:val="00482AA0"/>
    <w:rsid w:val="004A2299"/>
    <w:rsid w:val="004C610A"/>
    <w:rsid w:val="004E3FA7"/>
    <w:rsid w:val="004F55CA"/>
    <w:rsid w:val="00545A2C"/>
    <w:rsid w:val="00545BFD"/>
    <w:rsid w:val="005564EA"/>
    <w:rsid w:val="005711E3"/>
    <w:rsid w:val="00571A73"/>
    <w:rsid w:val="00577047"/>
    <w:rsid w:val="00590F19"/>
    <w:rsid w:val="00592799"/>
    <w:rsid w:val="00592FDA"/>
    <w:rsid w:val="005A32EA"/>
    <w:rsid w:val="005A699A"/>
    <w:rsid w:val="005B3784"/>
    <w:rsid w:val="005B4AC7"/>
    <w:rsid w:val="005C0054"/>
    <w:rsid w:val="005C29C9"/>
    <w:rsid w:val="005E4396"/>
    <w:rsid w:val="005F1AAD"/>
    <w:rsid w:val="006155D7"/>
    <w:rsid w:val="00620510"/>
    <w:rsid w:val="00625E21"/>
    <w:rsid w:val="006274E0"/>
    <w:rsid w:val="00627B91"/>
    <w:rsid w:val="00630DA7"/>
    <w:rsid w:val="006702D9"/>
    <w:rsid w:val="00673FC7"/>
    <w:rsid w:val="006825A1"/>
    <w:rsid w:val="006955FF"/>
    <w:rsid w:val="006C122B"/>
    <w:rsid w:val="006C2DEA"/>
    <w:rsid w:val="006C334A"/>
    <w:rsid w:val="006C3526"/>
    <w:rsid w:val="006C7D2A"/>
    <w:rsid w:val="006E734C"/>
    <w:rsid w:val="006E73C2"/>
    <w:rsid w:val="006F2306"/>
    <w:rsid w:val="006F3456"/>
    <w:rsid w:val="006F778E"/>
    <w:rsid w:val="007150E6"/>
    <w:rsid w:val="007367B5"/>
    <w:rsid w:val="00742433"/>
    <w:rsid w:val="00743612"/>
    <w:rsid w:val="00744DF8"/>
    <w:rsid w:val="00747EC7"/>
    <w:rsid w:val="00755C6C"/>
    <w:rsid w:val="00766C63"/>
    <w:rsid w:val="00783705"/>
    <w:rsid w:val="00786775"/>
    <w:rsid w:val="00796335"/>
    <w:rsid w:val="007A03AA"/>
    <w:rsid w:val="007A376F"/>
    <w:rsid w:val="007B64B1"/>
    <w:rsid w:val="007D0ABD"/>
    <w:rsid w:val="007D3566"/>
    <w:rsid w:val="007D395B"/>
    <w:rsid w:val="007E10F6"/>
    <w:rsid w:val="007E429B"/>
    <w:rsid w:val="007F0558"/>
    <w:rsid w:val="007F4149"/>
    <w:rsid w:val="007F7763"/>
    <w:rsid w:val="00802683"/>
    <w:rsid w:val="00802913"/>
    <w:rsid w:val="00804B08"/>
    <w:rsid w:val="00812F35"/>
    <w:rsid w:val="0082401B"/>
    <w:rsid w:val="00844C7D"/>
    <w:rsid w:val="008468CD"/>
    <w:rsid w:val="008568F1"/>
    <w:rsid w:val="008942F3"/>
    <w:rsid w:val="00895085"/>
    <w:rsid w:val="008A5FC0"/>
    <w:rsid w:val="008C4CBE"/>
    <w:rsid w:val="008D528B"/>
    <w:rsid w:val="008F72B5"/>
    <w:rsid w:val="00903382"/>
    <w:rsid w:val="0090700C"/>
    <w:rsid w:val="009077E5"/>
    <w:rsid w:val="00914684"/>
    <w:rsid w:val="00917C09"/>
    <w:rsid w:val="00927A0B"/>
    <w:rsid w:val="00946598"/>
    <w:rsid w:val="00947641"/>
    <w:rsid w:val="009540CC"/>
    <w:rsid w:val="00963B19"/>
    <w:rsid w:val="00967635"/>
    <w:rsid w:val="00970C24"/>
    <w:rsid w:val="00977EA1"/>
    <w:rsid w:val="00981A0B"/>
    <w:rsid w:val="009831C8"/>
    <w:rsid w:val="009835A3"/>
    <w:rsid w:val="009B1F02"/>
    <w:rsid w:val="009B67F6"/>
    <w:rsid w:val="009C40AD"/>
    <w:rsid w:val="009D0ED8"/>
    <w:rsid w:val="009F4693"/>
    <w:rsid w:val="00A031B3"/>
    <w:rsid w:val="00A317F9"/>
    <w:rsid w:val="00A31B41"/>
    <w:rsid w:val="00A43144"/>
    <w:rsid w:val="00A43D25"/>
    <w:rsid w:val="00A45C93"/>
    <w:rsid w:val="00A50E0C"/>
    <w:rsid w:val="00A74FE4"/>
    <w:rsid w:val="00A75304"/>
    <w:rsid w:val="00A8020A"/>
    <w:rsid w:val="00A947F5"/>
    <w:rsid w:val="00A9614D"/>
    <w:rsid w:val="00AA4DCB"/>
    <w:rsid w:val="00AB5241"/>
    <w:rsid w:val="00AC1795"/>
    <w:rsid w:val="00AC457F"/>
    <w:rsid w:val="00AD08E7"/>
    <w:rsid w:val="00AD3525"/>
    <w:rsid w:val="00AF085D"/>
    <w:rsid w:val="00B03ECF"/>
    <w:rsid w:val="00B041C5"/>
    <w:rsid w:val="00B27E53"/>
    <w:rsid w:val="00B322ED"/>
    <w:rsid w:val="00B331D1"/>
    <w:rsid w:val="00B347C9"/>
    <w:rsid w:val="00B403A9"/>
    <w:rsid w:val="00B52D88"/>
    <w:rsid w:val="00B54E65"/>
    <w:rsid w:val="00B62798"/>
    <w:rsid w:val="00B718D9"/>
    <w:rsid w:val="00B76EE5"/>
    <w:rsid w:val="00B77E1B"/>
    <w:rsid w:val="00B827EA"/>
    <w:rsid w:val="00B960E6"/>
    <w:rsid w:val="00BA0596"/>
    <w:rsid w:val="00BA0BE5"/>
    <w:rsid w:val="00BA1751"/>
    <w:rsid w:val="00BA52FE"/>
    <w:rsid w:val="00BB31D3"/>
    <w:rsid w:val="00BB7635"/>
    <w:rsid w:val="00BD5162"/>
    <w:rsid w:val="00BD62CF"/>
    <w:rsid w:val="00BF223D"/>
    <w:rsid w:val="00BF636D"/>
    <w:rsid w:val="00C1534A"/>
    <w:rsid w:val="00C1764C"/>
    <w:rsid w:val="00C17735"/>
    <w:rsid w:val="00C212E4"/>
    <w:rsid w:val="00C21EEC"/>
    <w:rsid w:val="00C33367"/>
    <w:rsid w:val="00C415B0"/>
    <w:rsid w:val="00C43016"/>
    <w:rsid w:val="00C4442B"/>
    <w:rsid w:val="00C5087A"/>
    <w:rsid w:val="00C67E1D"/>
    <w:rsid w:val="00C7361D"/>
    <w:rsid w:val="00C76E06"/>
    <w:rsid w:val="00C916D5"/>
    <w:rsid w:val="00C97D6C"/>
    <w:rsid w:val="00CA22AD"/>
    <w:rsid w:val="00CC1896"/>
    <w:rsid w:val="00CD30BE"/>
    <w:rsid w:val="00CD6907"/>
    <w:rsid w:val="00CE36E6"/>
    <w:rsid w:val="00CE795A"/>
    <w:rsid w:val="00CF49E3"/>
    <w:rsid w:val="00CF64F7"/>
    <w:rsid w:val="00CF7985"/>
    <w:rsid w:val="00D04D54"/>
    <w:rsid w:val="00D07B42"/>
    <w:rsid w:val="00D179FD"/>
    <w:rsid w:val="00D35A36"/>
    <w:rsid w:val="00D3782E"/>
    <w:rsid w:val="00D4486E"/>
    <w:rsid w:val="00D64988"/>
    <w:rsid w:val="00D731F6"/>
    <w:rsid w:val="00D74A21"/>
    <w:rsid w:val="00D84A52"/>
    <w:rsid w:val="00DB41D3"/>
    <w:rsid w:val="00DB4E2C"/>
    <w:rsid w:val="00DC0270"/>
    <w:rsid w:val="00DC34B6"/>
    <w:rsid w:val="00DD6D76"/>
    <w:rsid w:val="00E0740A"/>
    <w:rsid w:val="00E124DA"/>
    <w:rsid w:val="00E20FC7"/>
    <w:rsid w:val="00E23DAC"/>
    <w:rsid w:val="00E32A56"/>
    <w:rsid w:val="00E32CDC"/>
    <w:rsid w:val="00E40BD3"/>
    <w:rsid w:val="00E42EDB"/>
    <w:rsid w:val="00E6094B"/>
    <w:rsid w:val="00E67155"/>
    <w:rsid w:val="00E725B3"/>
    <w:rsid w:val="00E74116"/>
    <w:rsid w:val="00E76083"/>
    <w:rsid w:val="00E83B0B"/>
    <w:rsid w:val="00E969DB"/>
    <w:rsid w:val="00EA659C"/>
    <w:rsid w:val="00EB1CC5"/>
    <w:rsid w:val="00EB4137"/>
    <w:rsid w:val="00EC13CC"/>
    <w:rsid w:val="00EC366C"/>
    <w:rsid w:val="00EF0233"/>
    <w:rsid w:val="00F135A0"/>
    <w:rsid w:val="00F21CF2"/>
    <w:rsid w:val="00F2258F"/>
    <w:rsid w:val="00F25F7E"/>
    <w:rsid w:val="00F407B7"/>
    <w:rsid w:val="00F44C85"/>
    <w:rsid w:val="00F66A1E"/>
    <w:rsid w:val="00F87793"/>
    <w:rsid w:val="00F937B1"/>
    <w:rsid w:val="00F97713"/>
    <w:rsid w:val="00FA160B"/>
    <w:rsid w:val="00FA3B5F"/>
    <w:rsid w:val="00FA6554"/>
    <w:rsid w:val="00FD48DA"/>
    <w:rsid w:val="00FE4168"/>
    <w:rsid w:val="00FF25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F798"/>
  <w15:chartTrackingRefBased/>
  <w15:docId w15:val="{58080083-CEA9-4CA9-A5FE-3D9735A1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35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64C"/>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64C"/>
    <w:pPr>
      <w:ind w:left="720"/>
      <w:contextualSpacing/>
    </w:pPr>
  </w:style>
  <w:style w:type="paragraph" w:styleId="Textonotapie">
    <w:name w:val="footnote text"/>
    <w:basedOn w:val="Normal"/>
    <w:link w:val="TextonotapieCar"/>
    <w:uiPriority w:val="99"/>
    <w:unhideWhenUsed/>
    <w:rsid w:val="00C1764C"/>
    <w:pPr>
      <w:spacing w:line="240" w:lineRule="auto"/>
    </w:pPr>
    <w:rPr>
      <w:sz w:val="20"/>
      <w:szCs w:val="20"/>
    </w:rPr>
  </w:style>
  <w:style w:type="character" w:customStyle="1" w:styleId="TextonotapieCar">
    <w:name w:val="Texto nota pie Car"/>
    <w:basedOn w:val="Fuentedeprrafopredeter"/>
    <w:link w:val="Textonotapie"/>
    <w:uiPriority w:val="99"/>
    <w:rsid w:val="00C1764C"/>
    <w:rPr>
      <w:sz w:val="20"/>
      <w:szCs w:val="20"/>
      <w:lang w:val="es-C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C1764C"/>
    <w:rPr>
      <w:vertAlign w:val="superscript"/>
    </w:rPr>
  </w:style>
  <w:style w:type="paragraph" w:customStyle="1" w:styleId="Default">
    <w:name w:val="Default"/>
    <w:link w:val="DefaultChar"/>
    <w:rsid w:val="00C1764C"/>
    <w:pPr>
      <w:autoSpaceDE w:val="0"/>
      <w:autoSpaceDN w:val="0"/>
      <w:adjustRightInd w:val="0"/>
      <w:spacing w:line="240" w:lineRule="auto"/>
      <w:ind w:left="0"/>
      <w:jc w:val="left"/>
    </w:pPr>
    <w:rPr>
      <w:rFonts w:ascii="Times New Roman" w:eastAsia="Times New Roman" w:hAnsi="Times New Roman" w:cs="Times New Roman"/>
      <w:color w:val="000000"/>
      <w:sz w:val="24"/>
      <w:szCs w:val="24"/>
      <w:lang w:val="es-CR" w:eastAsia="es-CR"/>
    </w:rPr>
  </w:style>
  <w:style w:type="character" w:customStyle="1" w:styleId="DefaultChar">
    <w:name w:val="Default Char"/>
    <w:link w:val="Default"/>
    <w:locked/>
    <w:rsid w:val="00C1764C"/>
    <w:rPr>
      <w:rFonts w:ascii="Times New Roman" w:eastAsia="Times New Roman" w:hAnsi="Times New Roman" w:cs="Times New Roman"/>
      <w:color w:val="000000"/>
      <w:sz w:val="24"/>
      <w:szCs w:val="24"/>
      <w:lang w:val="es-CR" w:eastAsia="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1764C"/>
    <w:pPr>
      <w:widowControl w:val="0"/>
      <w:adjustRightInd w:val="0"/>
      <w:spacing w:line="240" w:lineRule="auto"/>
      <w:ind w:left="0"/>
      <w:textAlignment w:val="baseline"/>
    </w:pPr>
    <w:rPr>
      <w:vertAlign w:val="superscript"/>
      <w:lang w:val="en-US"/>
    </w:rPr>
  </w:style>
  <w:style w:type="paragraph" w:customStyle="1" w:styleId="yiv1943656305msonormal">
    <w:name w:val="yiv1943656305msonormal"/>
    <w:basedOn w:val="Normal"/>
    <w:rsid w:val="00C1764C"/>
    <w:pPr>
      <w:spacing w:before="100" w:beforeAutospacing="1" w:after="100" w:afterAutospacing="1" w:line="240" w:lineRule="auto"/>
      <w:ind w:left="0"/>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764C"/>
    <w:rPr>
      <w:b/>
      <w:bCs/>
    </w:rPr>
  </w:style>
  <w:style w:type="paragraph" w:styleId="Piedepgina">
    <w:name w:val="footer"/>
    <w:basedOn w:val="Normal"/>
    <w:link w:val="PiedepginaCar"/>
    <w:uiPriority w:val="99"/>
    <w:unhideWhenUsed/>
    <w:rsid w:val="00C1764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764C"/>
    <w:rPr>
      <w:lang w:val="es-CL"/>
    </w:rPr>
  </w:style>
  <w:style w:type="paragraph" w:styleId="Encabezado">
    <w:name w:val="header"/>
    <w:basedOn w:val="Normal"/>
    <w:link w:val="EncabezadoCar"/>
    <w:uiPriority w:val="99"/>
    <w:unhideWhenUsed/>
    <w:rsid w:val="00A45C9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45C93"/>
    <w:rPr>
      <w:lang w:val="es-CL"/>
    </w:rPr>
  </w:style>
  <w:style w:type="character" w:styleId="Refdecomentario">
    <w:name w:val="annotation reference"/>
    <w:basedOn w:val="Fuentedeprrafopredeter"/>
    <w:uiPriority w:val="99"/>
    <w:semiHidden/>
    <w:unhideWhenUsed/>
    <w:rsid w:val="00DC34B6"/>
    <w:rPr>
      <w:sz w:val="16"/>
      <w:szCs w:val="16"/>
    </w:rPr>
  </w:style>
  <w:style w:type="paragraph" w:styleId="Textocomentario">
    <w:name w:val="annotation text"/>
    <w:basedOn w:val="Normal"/>
    <w:link w:val="TextocomentarioCar"/>
    <w:uiPriority w:val="99"/>
    <w:semiHidden/>
    <w:unhideWhenUsed/>
    <w:rsid w:val="00DC34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34B6"/>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DC34B6"/>
    <w:rPr>
      <w:b/>
      <w:bCs/>
    </w:rPr>
  </w:style>
  <w:style w:type="character" w:customStyle="1" w:styleId="AsuntodelcomentarioCar">
    <w:name w:val="Asunto del comentario Car"/>
    <w:basedOn w:val="TextocomentarioCar"/>
    <w:link w:val="Asuntodelcomentario"/>
    <w:uiPriority w:val="99"/>
    <w:semiHidden/>
    <w:rsid w:val="00DC34B6"/>
    <w:rPr>
      <w:b/>
      <w:bCs/>
      <w:sz w:val="20"/>
      <w:szCs w:val="20"/>
      <w:lang w:val="es-CL"/>
    </w:rPr>
  </w:style>
  <w:style w:type="paragraph" w:styleId="Textodeglobo">
    <w:name w:val="Balloon Text"/>
    <w:basedOn w:val="Normal"/>
    <w:link w:val="TextodegloboCar"/>
    <w:uiPriority w:val="99"/>
    <w:semiHidden/>
    <w:unhideWhenUsed/>
    <w:rsid w:val="00DC34B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4B6"/>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B236-7BD5-43DF-8F11-482F517E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3922</Words>
  <Characters>21573</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2</cp:revision>
  <cp:lastPrinted>2019-09-20T21:24:00Z</cp:lastPrinted>
  <dcterms:created xsi:type="dcterms:W3CDTF">2019-09-20T22:55:00Z</dcterms:created>
  <dcterms:modified xsi:type="dcterms:W3CDTF">2019-09-20T22:55:00Z</dcterms:modified>
</cp:coreProperties>
</file>